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AABA4" w14:textId="37F72403" w:rsidR="00F154A7" w:rsidRPr="00CE0424" w:rsidRDefault="00F154A7" w:rsidP="00F154A7">
      <w:pPr>
        <w:pStyle w:val="3GPPHeader"/>
        <w:spacing w:after="60"/>
        <w:rPr>
          <w:sz w:val="32"/>
          <w:szCs w:val="32"/>
          <w:highlight w:val="yellow"/>
        </w:rPr>
      </w:pPr>
      <w:r w:rsidRPr="00CE0424">
        <w:t>3GPP TSG-RAN WG</w:t>
      </w:r>
      <w:r>
        <w:t>2</w:t>
      </w:r>
      <w:r w:rsidRPr="00CE0424">
        <w:t xml:space="preserve"> #</w:t>
      </w:r>
      <w:r w:rsidR="00E458E8">
        <w:t>98</w:t>
      </w:r>
      <w:r w:rsidRPr="00CE0424">
        <w:tab/>
      </w:r>
      <w:r w:rsidRPr="00CE0424">
        <w:rPr>
          <w:sz w:val="32"/>
          <w:szCs w:val="32"/>
        </w:rPr>
        <w:t>Tdoc R2-1</w:t>
      </w:r>
      <w:r>
        <w:rPr>
          <w:sz w:val="32"/>
          <w:szCs w:val="32"/>
        </w:rPr>
        <w:t>7</w:t>
      </w:r>
      <w:r w:rsidR="004F2D67">
        <w:rPr>
          <w:sz w:val="32"/>
          <w:szCs w:val="32"/>
        </w:rPr>
        <w:t>04415</w:t>
      </w:r>
    </w:p>
    <w:p w14:paraId="53D785E6" w14:textId="1EDB9CDF" w:rsidR="00F154A7" w:rsidRPr="00CE0424" w:rsidRDefault="009808EE" w:rsidP="00F154A7">
      <w:pPr>
        <w:pStyle w:val="3GPPHeader"/>
      </w:pPr>
      <w:r>
        <w:t xml:space="preserve">Hangzhou, </w:t>
      </w:r>
      <w:r w:rsidR="00E458E8">
        <w:t>China, 15</w:t>
      </w:r>
      <w:r w:rsidR="00E458E8" w:rsidRPr="00C544E1">
        <w:rPr>
          <w:vertAlign w:val="superscript"/>
        </w:rPr>
        <w:t>th</w:t>
      </w:r>
      <w:r w:rsidR="00E458E8">
        <w:t xml:space="preserve"> – 19</w:t>
      </w:r>
      <w:r w:rsidR="00E458E8" w:rsidRPr="00AE3743">
        <w:rPr>
          <w:vertAlign w:val="superscript"/>
        </w:rPr>
        <w:t>th</w:t>
      </w:r>
      <w:r w:rsidR="00E458E8">
        <w:t xml:space="preserve"> May 2017</w:t>
      </w:r>
      <w:r w:rsidR="00F74557">
        <w:tab/>
        <w:t>(revision of R2-170</w:t>
      </w:r>
      <w:r w:rsidR="00E77DE7">
        <w:t>2720</w:t>
      </w:r>
      <w:r w:rsidR="00F74557">
        <w:t>)</w:t>
      </w:r>
    </w:p>
    <w:p w14:paraId="436B50D4" w14:textId="77777777" w:rsidR="00E90E49" w:rsidRPr="000C3323" w:rsidRDefault="00E90E49" w:rsidP="00357380">
      <w:pPr>
        <w:pStyle w:val="3GPPHeader"/>
      </w:pPr>
    </w:p>
    <w:p w14:paraId="0708A3D8" w14:textId="45B66F54" w:rsidR="00E90E49" w:rsidRPr="000C3323" w:rsidRDefault="00E90E49" w:rsidP="00311702">
      <w:pPr>
        <w:pStyle w:val="3GPPHeader"/>
        <w:rPr>
          <w:sz w:val="22"/>
          <w:szCs w:val="22"/>
          <w:lang w:val="en-US"/>
        </w:rPr>
      </w:pPr>
      <w:r w:rsidRPr="000C3323">
        <w:rPr>
          <w:sz w:val="22"/>
          <w:szCs w:val="22"/>
          <w:lang w:val="en-US"/>
        </w:rPr>
        <w:t>Agenda Item:</w:t>
      </w:r>
      <w:r w:rsidRPr="000C3323">
        <w:rPr>
          <w:sz w:val="22"/>
          <w:szCs w:val="22"/>
          <w:lang w:val="en-US"/>
        </w:rPr>
        <w:tab/>
      </w:r>
      <w:r w:rsidR="00E615F0">
        <w:rPr>
          <w:sz w:val="22"/>
          <w:szCs w:val="22"/>
          <w:lang w:val="en-US"/>
        </w:rPr>
        <w:t>10.2.2</w:t>
      </w:r>
    </w:p>
    <w:p w14:paraId="71824C3D" w14:textId="77777777" w:rsidR="00E90E49" w:rsidRPr="000C3323" w:rsidRDefault="003D3C45" w:rsidP="00F64C2B">
      <w:pPr>
        <w:pStyle w:val="3GPPHeader"/>
        <w:rPr>
          <w:sz w:val="22"/>
          <w:szCs w:val="22"/>
        </w:rPr>
      </w:pPr>
      <w:r w:rsidRPr="000C3323">
        <w:rPr>
          <w:sz w:val="22"/>
          <w:szCs w:val="22"/>
        </w:rPr>
        <w:t>Source:</w:t>
      </w:r>
      <w:r w:rsidR="00E90E49" w:rsidRPr="000C3323">
        <w:rPr>
          <w:sz w:val="22"/>
          <w:szCs w:val="22"/>
        </w:rPr>
        <w:tab/>
      </w:r>
      <w:r w:rsidR="00F64C2B" w:rsidRPr="000C3323">
        <w:rPr>
          <w:sz w:val="22"/>
          <w:szCs w:val="22"/>
        </w:rPr>
        <w:t>Ericsson</w:t>
      </w:r>
    </w:p>
    <w:p w14:paraId="2EB3B7E6" w14:textId="58DBBE14" w:rsidR="00E90E49" w:rsidRPr="000C3323" w:rsidRDefault="003D3C45" w:rsidP="00311702">
      <w:pPr>
        <w:pStyle w:val="3GPPHeader"/>
        <w:rPr>
          <w:sz w:val="22"/>
          <w:szCs w:val="22"/>
        </w:rPr>
      </w:pPr>
      <w:r w:rsidRPr="000C3323">
        <w:rPr>
          <w:sz w:val="22"/>
          <w:szCs w:val="22"/>
        </w:rPr>
        <w:t>Title:</w:t>
      </w:r>
      <w:r w:rsidR="00E90E49" w:rsidRPr="000C3323">
        <w:rPr>
          <w:sz w:val="22"/>
          <w:szCs w:val="22"/>
        </w:rPr>
        <w:tab/>
      </w:r>
      <w:r w:rsidR="00802E21" w:rsidRPr="000C3323">
        <w:rPr>
          <w:sz w:val="22"/>
          <w:szCs w:val="22"/>
        </w:rPr>
        <w:t xml:space="preserve">Bearer type switching in </w:t>
      </w:r>
      <w:r w:rsidR="00223577" w:rsidRPr="000C3323">
        <w:rPr>
          <w:sz w:val="22"/>
          <w:szCs w:val="22"/>
        </w:rPr>
        <w:t>dual connectivity</w:t>
      </w:r>
    </w:p>
    <w:p w14:paraId="3FA2B039" w14:textId="77777777" w:rsidR="00E90E49" w:rsidRPr="00CE0424" w:rsidRDefault="00E90E49" w:rsidP="007146AF">
      <w:pPr>
        <w:pStyle w:val="3GPPHeader"/>
      </w:pPr>
      <w:r w:rsidRPr="000C3323">
        <w:rPr>
          <w:sz w:val="22"/>
          <w:szCs w:val="22"/>
        </w:rPr>
        <w:t>Document for:</w:t>
      </w:r>
      <w:r w:rsidRPr="000C3323">
        <w:rPr>
          <w:sz w:val="22"/>
          <w:szCs w:val="22"/>
        </w:rPr>
        <w:tab/>
        <w:t>Discussion, Decision</w:t>
      </w:r>
    </w:p>
    <w:p w14:paraId="5FA2BA8E" w14:textId="77777777" w:rsidR="00E77DE7" w:rsidRDefault="00E77DE7" w:rsidP="000D78FD">
      <w:pPr>
        <w:pStyle w:val="BodyText"/>
      </w:pPr>
    </w:p>
    <w:p w14:paraId="63E4261B" w14:textId="2C2A3D90" w:rsidR="00E77DE7" w:rsidRDefault="00377F41" w:rsidP="00E77DE7">
      <w:pPr>
        <w:pStyle w:val="Heading1"/>
      </w:pPr>
      <w:r>
        <w:t>Introduction</w:t>
      </w:r>
    </w:p>
    <w:p w14:paraId="0CFAFD12" w14:textId="5E831B6B" w:rsidR="00F50128" w:rsidRDefault="00F50128" w:rsidP="00F50128">
      <w:pPr>
        <w:pStyle w:val="BodyText"/>
      </w:pPr>
      <w:r>
        <w:t>At RAN2#97bis in Spokane, bearer type change options for LTE-NR DC were discussed and</w:t>
      </w:r>
      <w:r w:rsidR="00E615F0">
        <w:t xml:space="preserve"> it was agreed at least which transitions that should be supported in the specifications, see detailed agreements in annex. An email discussion [97bis#12] was started to discuss detailed procedures</w:t>
      </w:r>
      <w:r>
        <w:t xml:space="preserve"> </w:t>
      </w:r>
      <w:r w:rsidR="00E615F0">
        <w:t xml:space="preserve">and L2 handling for </w:t>
      </w:r>
      <w:r w:rsidR="00A81434">
        <w:t>the agreed bearer type changes</w:t>
      </w:r>
      <w:r w:rsidR="00E615F0">
        <w:t>.</w:t>
      </w:r>
      <w:r>
        <w:t xml:space="preserve"> </w:t>
      </w:r>
    </w:p>
    <w:p w14:paraId="04F39715" w14:textId="1B44B0E1" w:rsidR="00C04A53" w:rsidRPr="00CE0424" w:rsidRDefault="000D78FD" w:rsidP="00CE0424">
      <w:pPr>
        <w:pStyle w:val="BodyText"/>
      </w:pPr>
      <w:r>
        <w:t>In</w:t>
      </w:r>
      <w:r w:rsidR="00C04A53">
        <w:t xml:space="preserve"> general, we think the discussion on bearer type harmonization in agenda item 10.2.2 (Split bearer definition for NSA) should be concluded before discussing deta</w:t>
      </w:r>
      <w:r w:rsidR="00BA3FB3">
        <w:t xml:space="preserve">ils and L2 handling for transitions between </w:t>
      </w:r>
      <w:r w:rsidR="009A71C7">
        <w:t xml:space="preserve">the </w:t>
      </w:r>
      <w:r w:rsidR="00BA3FB3">
        <w:t xml:space="preserve">different bearer types. However, in this contribution we discuss some targets and general principles for the bearer type transitions and we also address the FFS </w:t>
      </w:r>
      <w:r w:rsidR="00E615F0">
        <w:t>from RAN2#97bis on whether LTE-NR DC shall support the direct type change between MCG split bearer to/from SCG split bearer.</w:t>
      </w:r>
    </w:p>
    <w:p w14:paraId="484E3C1F" w14:textId="2A351484" w:rsidR="00E615F0" w:rsidRPr="00E615F0" w:rsidRDefault="004000E8" w:rsidP="00E615F0">
      <w:pPr>
        <w:pStyle w:val="Heading1"/>
      </w:pPr>
      <w:bookmarkStart w:id="0" w:name="_Ref178064866"/>
      <w:r w:rsidRPr="00CE0424">
        <w:t>Discussion</w:t>
      </w:r>
      <w:bookmarkEnd w:id="0"/>
    </w:p>
    <w:p w14:paraId="69E6DC52" w14:textId="235D9629" w:rsidR="00882661" w:rsidRDefault="00882661" w:rsidP="00882661">
      <w:r>
        <w:t>The bearer type switches are realized in RRC using MAC, RLC, and PDCP procedures. Generally, three different ways of bearer type change exist:</w:t>
      </w:r>
    </w:p>
    <w:p w14:paraId="589F32FE" w14:textId="404E087E" w:rsidR="00882661" w:rsidRDefault="00882661" w:rsidP="00882661">
      <w:pPr>
        <w:pStyle w:val="ListParagraph"/>
        <w:numPr>
          <w:ilvl w:val="0"/>
          <w:numId w:val="18"/>
        </w:numPr>
      </w:pPr>
      <w:r w:rsidRPr="001A6939">
        <w:rPr>
          <w:b/>
        </w:rPr>
        <w:t>Bearer type change together with handover</w:t>
      </w:r>
      <w:r>
        <w:t xml:space="preserve"> (RrcConnectionReconfiguration including mobilityControlInfo (MCG). With this procedure, before the respective bearer type change, both MCG and SCG MAC entities are reset and RLC as well as PDCP entities of all bearers are re-established. This procedure can be considered heavy, since it affects all configured bearers, i.e. ongoing MAC and RLC transmissions are interrupted and PDCP retransmissions must be done. The advantage is that in principle all types of bearer type changes can be done during this procedure. Also security keys can be changed (during PDCP reestablishment). This way, also bearer type changes between PDCP (security) termination points are supported.</w:t>
      </w:r>
    </w:p>
    <w:p w14:paraId="6E74281E" w14:textId="3D137878" w:rsidR="00882661" w:rsidRPr="0071506D" w:rsidRDefault="00882661" w:rsidP="00882661">
      <w:pPr>
        <w:pStyle w:val="ListParagraph"/>
        <w:numPr>
          <w:ilvl w:val="0"/>
          <w:numId w:val="18"/>
        </w:numPr>
        <w:rPr>
          <w:b/>
        </w:rPr>
      </w:pPr>
      <w:r w:rsidRPr="001A6939">
        <w:rPr>
          <w:b/>
        </w:rPr>
        <w:t xml:space="preserve">Bearer type change together with SCG </w:t>
      </w:r>
      <w:r>
        <w:rPr>
          <w:b/>
        </w:rPr>
        <w:t>release/</w:t>
      </w:r>
      <w:r w:rsidRPr="001A6939">
        <w:rPr>
          <w:b/>
        </w:rPr>
        <w:t>change</w:t>
      </w:r>
      <w:r>
        <w:rPr>
          <w:b/>
        </w:rPr>
        <w:t xml:space="preserve"> </w:t>
      </w:r>
      <w:r>
        <w:t>(but no handover, i.e. R</w:t>
      </w:r>
      <w:r w:rsidR="007C02E2">
        <w:t>RC</w:t>
      </w:r>
      <w:r>
        <w:t>ConnectionReconfiguration including mobilityControlInfoSCG). In this procedure, the SCG is changed (or released)</w:t>
      </w:r>
      <w:r w:rsidR="0039779E">
        <w:t>, and the bearer type reconfiguration is synchronized with that</w:t>
      </w:r>
      <w:r>
        <w:t>. It includes SCG MAC reset and reestablishment of all SCG RLC entities (of SCG or split bearers). As currently specified for LTE, PDCP is re-established for SCG bearers or when MCG bearers are switched to SCG bearers. For the MCG split bearer, PDCP data recovery procedure is used, as transmissions can continue during SCG change via the MCG, and a full PDCP reestablishment is not therefore required.</w:t>
      </w:r>
    </w:p>
    <w:p w14:paraId="7933EBAD" w14:textId="3E6EB8C7" w:rsidR="00882661" w:rsidRPr="0039779E" w:rsidRDefault="00882661" w:rsidP="00882661">
      <w:pPr>
        <w:pStyle w:val="ListParagraph"/>
        <w:numPr>
          <w:ilvl w:val="0"/>
          <w:numId w:val="18"/>
        </w:numPr>
        <w:rPr>
          <w:b/>
        </w:rPr>
      </w:pPr>
      <w:r>
        <w:rPr>
          <w:b/>
        </w:rPr>
        <w:t xml:space="preserve">Bearer type change without handover nor SCG release/change. </w:t>
      </w:r>
      <w:r>
        <w:t xml:space="preserve">Some bearer type reconfigurations could be supported also without the synchronized reconfiguration procedures above. In these </w:t>
      </w:r>
      <w:r w:rsidR="0039779E">
        <w:t>cases,</w:t>
      </w:r>
      <w:r>
        <w:t xml:space="preserve"> neither MAC is reset, nor RLC or PDCP is re-established. </w:t>
      </w:r>
      <w:r w:rsidRPr="000C3323">
        <w:t>Bearer type reconfiguration from MCG split bearer to MCG bearer could be supported by this</w:t>
      </w:r>
      <w:r w:rsidRPr="0039779E">
        <w:t xml:space="preserve"> even though in LTE</w:t>
      </w:r>
      <w:r w:rsidRPr="00DA44DB">
        <w:t>, SCG change had been used for this</w:t>
      </w:r>
      <w:r w:rsidR="007C02E2">
        <w:t xml:space="preserve"> due to simplicity</w:t>
      </w:r>
      <w:r w:rsidRPr="00DA44DB">
        <w:t>.</w:t>
      </w:r>
    </w:p>
    <w:p w14:paraId="5FF3F7C3" w14:textId="64AF7C9C" w:rsidR="00882661" w:rsidRDefault="00DA44DB" w:rsidP="00A570CD">
      <w:r>
        <w:t>Building on the existing procedure in LTE DC for bearer type switches, we analyse in the following which further changes should be cons</w:t>
      </w:r>
      <w:r w:rsidR="00D95744">
        <w:t>idered in NR and especially LTE-</w:t>
      </w:r>
      <w:r>
        <w:t>NR DC, and how these could be realized.</w:t>
      </w:r>
    </w:p>
    <w:p w14:paraId="6D6F6BF3" w14:textId="017AA2DB" w:rsidR="00882661" w:rsidRDefault="00882661" w:rsidP="00A570CD">
      <w:r>
        <w:t>For the bearer type change</w:t>
      </w:r>
      <w:r w:rsidR="008F7C20">
        <w:t>s</w:t>
      </w:r>
      <w:r>
        <w:t xml:space="preserve"> with parts of the bearer remaining associated to one cell group, </w:t>
      </w:r>
      <w:r w:rsidR="00D95744">
        <w:t>and where</w:t>
      </w:r>
      <w:r>
        <w:t xml:space="preserve"> the PDCP termination point does not change, i.e. for MCG to MCG split bearer</w:t>
      </w:r>
      <w:r w:rsidR="00DA44DB">
        <w:t xml:space="preserve">, or SCG to SCG split bearer, </w:t>
      </w:r>
      <w:r w:rsidR="00DA44DB">
        <w:lastRenderedPageBreak/>
        <w:t xml:space="preserve">PDCP reestablishment is not needed, as </w:t>
      </w:r>
      <w:r w:rsidR="00E9171D">
        <w:t>not all lower layers must be flushed.</w:t>
      </w:r>
      <w:r w:rsidR="00DA44DB">
        <w:t xml:space="preserve"> </w:t>
      </w:r>
      <w:r w:rsidR="009F4C36">
        <w:t>If for changes e.g. from split bearer to non-split bearer within one cell group, data from the other (not used</w:t>
      </w:r>
      <w:r w:rsidR="00032E75">
        <w:t xml:space="preserve"> anymore</w:t>
      </w:r>
      <w:r w:rsidR="009F4C36">
        <w:t xml:space="preserve">) cell group is lost on MAC and RLC, it can be retransmitted </w:t>
      </w:r>
      <w:r w:rsidR="00032E75">
        <w:t>by PDCP for example based on PDCP data recovery</w:t>
      </w:r>
      <w:r w:rsidR="009F4C36">
        <w:t>.</w:t>
      </w:r>
      <w:r w:rsidR="00032E75">
        <w:t xml:space="preserve"> </w:t>
      </w:r>
      <w:r w:rsidR="007E24AB">
        <w:t>A synchronized reconfiguration together with handover or SCG change is thereby not required.</w:t>
      </w:r>
    </w:p>
    <w:p w14:paraId="5A4DE68F" w14:textId="52926053" w:rsidR="009F4C36" w:rsidRPr="00CE0424" w:rsidRDefault="009F4C36" w:rsidP="009F4C36">
      <w:pPr>
        <w:pStyle w:val="Proposal"/>
      </w:pPr>
      <w:bookmarkStart w:id="1" w:name="_Toc473928839"/>
      <w:bookmarkStart w:id="2" w:name="_Toc478159535"/>
      <w:bookmarkStart w:id="3" w:name="_Toc478159819"/>
      <w:bookmarkStart w:id="4" w:name="_Toc481581152"/>
      <w:bookmarkStart w:id="5" w:name="_Toc481584807"/>
      <w:bookmarkStart w:id="6" w:name="_Toc481790491"/>
      <w:bookmarkStart w:id="7" w:name="_Toc481796943"/>
      <w:bookmarkStart w:id="8" w:name="_Toc473902443"/>
      <w:r>
        <w:t>Switch</w:t>
      </w:r>
      <w:r w:rsidR="00032E75">
        <w:t>es</w:t>
      </w:r>
      <w:r>
        <w:t xml:space="preserve"> between non-split bearer and split bearer </w:t>
      </w:r>
      <w:r w:rsidR="00B11266">
        <w:t>within the same cell group</w:t>
      </w:r>
      <w:r w:rsidR="00D01987">
        <w:t xml:space="preserve"> </w:t>
      </w:r>
      <w:r w:rsidR="00350AC2">
        <w:t>with</w:t>
      </w:r>
      <w:r w:rsidR="00032E75">
        <w:t xml:space="preserve"> potential data loss on MAC and </w:t>
      </w:r>
      <w:r w:rsidR="00543655">
        <w:t>RLC</w:t>
      </w:r>
      <w:r w:rsidR="00032E75">
        <w:t xml:space="preserve"> can be handled by PDCP retransmissions, e.g. </w:t>
      </w:r>
      <w:r w:rsidR="0070702B">
        <w:t>with</w:t>
      </w:r>
      <w:r w:rsidR="00032E75">
        <w:t xml:space="preserve"> the PDCP data recovery procedure.</w:t>
      </w:r>
      <w:bookmarkEnd w:id="1"/>
      <w:bookmarkEnd w:id="2"/>
      <w:bookmarkEnd w:id="3"/>
      <w:bookmarkEnd w:id="4"/>
      <w:bookmarkEnd w:id="5"/>
      <w:bookmarkEnd w:id="6"/>
      <w:bookmarkEnd w:id="7"/>
      <w:r w:rsidR="00032E75">
        <w:t xml:space="preserve"> </w:t>
      </w:r>
      <w:bookmarkEnd w:id="8"/>
    </w:p>
    <w:p w14:paraId="1BBE1A49" w14:textId="7BD9FB32" w:rsidR="00723A79" w:rsidRDefault="00D01987" w:rsidP="00A570CD">
      <w:r>
        <w:t>B</w:t>
      </w:r>
      <w:r w:rsidR="008F7C20">
        <w:t>earer type changes across cell groups, i.e. MCG or MCG split bearer to SCG or SCG split bearer</w:t>
      </w:r>
      <w:r w:rsidR="00BF7369">
        <w:t xml:space="preserve"> (or vice versa), </w:t>
      </w:r>
      <w:r>
        <w:t xml:space="preserve">meant in LTE-DC also that </w:t>
      </w:r>
      <w:r w:rsidR="00BF7369">
        <w:t xml:space="preserve">the </w:t>
      </w:r>
      <w:r w:rsidR="00723A79">
        <w:t xml:space="preserve">network side </w:t>
      </w:r>
      <w:r w:rsidR="00BF7369">
        <w:t>PDCP termination point change</w:t>
      </w:r>
      <w:r>
        <w:t>d</w:t>
      </w:r>
      <w:r w:rsidR="00BF7369">
        <w:t xml:space="preserve">. </w:t>
      </w:r>
      <w:r>
        <w:t xml:space="preserve">For LTE-NR DC, </w:t>
      </w:r>
      <w:r w:rsidR="00723A79">
        <w:t xml:space="preserve">as explained and proposed in </w:t>
      </w:r>
      <w:r w:rsidR="00723A79">
        <w:fldChar w:fldCharType="begin"/>
      </w:r>
      <w:r w:rsidR="00723A79">
        <w:instrText xml:space="preserve"> REF _Ref481566365 \r \h </w:instrText>
      </w:r>
      <w:r w:rsidR="00723A79">
        <w:fldChar w:fldCharType="separate"/>
      </w:r>
      <w:r w:rsidR="00723A79">
        <w:t>[1]</w:t>
      </w:r>
      <w:r w:rsidR="00723A79">
        <w:fldChar w:fldCharType="end"/>
      </w:r>
      <w:r w:rsidR="00723A79">
        <w:t>, the network termination point could be separated from the bearer type. This would enable more flexibility on the network side to terminate the bearer PDCP layer in MN, SN or</w:t>
      </w:r>
      <w:r w:rsidR="00E46282">
        <w:t xml:space="preserve"> a</w:t>
      </w:r>
      <w:r w:rsidR="00723A79">
        <w:t xml:space="preserve"> central unit. F</w:t>
      </w:r>
      <w:r w:rsidR="00E46282">
        <w:t>or</w:t>
      </w:r>
      <w:r w:rsidR="00723A79">
        <w:t xml:space="preserve"> bearer type changes, it would mean that a PDCP re-establishment is needed when the network side PDCP termination point is changed.</w:t>
      </w:r>
    </w:p>
    <w:p w14:paraId="0F907480" w14:textId="3F6AE1F8" w:rsidR="00723A79" w:rsidRDefault="00723A79" w:rsidP="00723A79">
      <w:pPr>
        <w:pStyle w:val="Proposal"/>
      </w:pPr>
      <w:bookmarkStart w:id="9" w:name="_Toc473902444"/>
      <w:bookmarkStart w:id="10" w:name="_Toc473928840"/>
      <w:bookmarkStart w:id="11" w:name="_Toc478159536"/>
      <w:bookmarkStart w:id="12" w:name="_Toc478159820"/>
      <w:bookmarkStart w:id="13" w:name="_Toc481581153"/>
      <w:bookmarkStart w:id="14" w:name="_Toc481584808"/>
      <w:bookmarkStart w:id="15" w:name="_Toc481790492"/>
      <w:bookmarkStart w:id="16" w:name="_Toc481796944"/>
      <w:r>
        <w:t>Bearer type switches with change of PDCP termination point, include PDCP reestablishment procedure.</w:t>
      </w:r>
      <w:bookmarkEnd w:id="9"/>
      <w:bookmarkEnd w:id="10"/>
      <w:bookmarkEnd w:id="11"/>
      <w:bookmarkEnd w:id="12"/>
      <w:bookmarkEnd w:id="13"/>
      <w:bookmarkEnd w:id="14"/>
      <w:bookmarkEnd w:id="15"/>
      <w:bookmarkEnd w:id="16"/>
    </w:p>
    <w:p w14:paraId="615E3797" w14:textId="4E78D311" w:rsidR="00BF7369" w:rsidRDefault="00426D93" w:rsidP="00A570CD">
      <w:r>
        <w:t>For LTE-</w:t>
      </w:r>
      <w:r w:rsidR="00BF7369">
        <w:t>NR DC it should</w:t>
      </w:r>
      <w:r>
        <w:t xml:space="preserve"> also</w:t>
      </w:r>
      <w:r w:rsidR="00BF7369">
        <w:t xml:space="preserve"> be considered that the used PDCP version (LTE or NR) </w:t>
      </w:r>
      <w:r>
        <w:t xml:space="preserve">may </w:t>
      </w:r>
      <w:r w:rsidR="00BF7369">
        <w:t>c</w:t>
      </w:r>
      <w:r>
        <w:t>hange</w:t>
      </w:r>
      <w:r w:rsidR="00BF7369">
        <w:t xml:space="preserve">. Therefore, change of the PDCP version in the receiving entity must be synchronized with the used PDCP version in the transmitter as well as all PDCP PDUs of a certain version in flight. E.g. when the PDCP receiver is changed to NR PDCP, </w:t>
      </w:r>
      <w:r w:rsidR="0000255E">
        <w:t xml:space="preserve">the UE must not </w:t>
      </w:r>
      <w:r w:rsidR="00BF7369">
        <w:t xml:space="preserve">receive anymore PDCP PDUs based on an LTE PDCP format. For these reasons a synchronized reconfiguration procedure should be considered, and lower layers, i.e. MAC and RLC should be flushed. The procedure should also be lossless, i.e. the bearer type reconfiguration should not be visible to higher layers such as TCP. Such a procedure would be in-line with PDCP reestablishment, as used today, however enhanced to support also reestablishment between LTE PDCP and NR PDCP (and vice versa). </w:t>
      </w:r>
    </w:p>
    <w:p w14:paraId="2CF99579" w14:textId="6571E93B" w:rsidR="00BF7369" w:rsidRDefault="004C360F" w:rsidP="000C3323">
      <w:pPr>
        <w:pStyle w:val="Proposal"/>
      </w:pPr>
      <w:bookmarkStart w:id="17" w:name="_Toc473902445"/>
      <w:bookmarkStart w:id="18" w:name="_Toc473928841"/>
      <w:bookmarkStart w:id="19" w:name="_Toc478159537"/>
      <w:bookmarkStart w:id="20" w:name="_Toc478159821"/>
      <w:bookmarkStart w:id="21" w:name="_Toc481581154"/>
      <w:bookmarkStart w:id="22" w:name="_Toc481584809"/>
      <w:bookmarkStart w:id="23" w:name="_Toc481790493"/>
      <w:bookmarkStart w:id="24" w:name="_Toc481796945"/>
      <w:r>
        <w:t>PDCP reestablishment procedure is supported across PDCP versions (i.e. LTE PDCP to NR PDCP and vice versa).</w:t>
      </w:r>
      <w:bookmarkEnd w:id="17"/>
      <w:bookmarkEnd w:id="18"/>
      <w:bookmarkEnd w:id="19"/>
      <w:bookmarkEnd w:id="20"/>
      <w:bookmarkEnd w:id="21"/>
      <w:bookmarkEnd w:id="22"/>
      <w:bookmarkEnd w:id="23"/>
      <w:bookmarkEnd w:id="24"/>
    </w:p>
    <w:p w14:paraId="05A0998C" w14:textId="14933ECC" w:rsidR="00D95827" w:rsidRDefault="00D95827" w:rsidP="00A570CD">
      <w:r>
        <w:t>The bearer type change</w:t>
      </w:r>
      <w:r w:rsidR="004F5D5F">
        <w:t>s</w:t>
      </w:r>
      <w:r>
        <w:t xml:space="preserve"> as discussed above are illustrated in Figure 1.</w:t>
      </w:r>
    </w:p>
    <w:p w14:paraId="7FFB35E4" w14:textId="1E7BA9DE" w:rsidR="00D95827" w:rsidRDefault="004D16D8" w:rsidP="00D95827">
      <w:pPr>
        <w:keepNext/>
        <w:jc w:val="center"/>
      </w:pPr>
      <w:r>
        <w:rPr>
          <w:noProof/>
          <w:lang w:val="fi-FI" w:eastAsia="fi-FI"/>
        </w:rPr>
        <w:drawing>
          <wp:inline distT="0" distB="0" distL="0" distR="0" wp14:anchorId="3EBC57BB" wp14:editId="78F2C990">
            <wp:extent cx="4562504" cy="2316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5066" cy="2322710"/>
                    </a:xfrm>
                    <a:prstGeom prst="rect">
                      <a:avLst/>
                    </a:prstGeom>
                    <a:noFill/>
                  </pic:spPr>
                </pic:pic>
              </a:graphicData>
            </a:graphic>
          </wp:inline>
        </w:drawing>
      </w:r>
    </w:p>
    <w:p w14:paraId="634F7911" w14:textId="2109F610" w:rsidR="00D95827" w:rsidRDefault="00D95827" w:rsidP="00D95827">
      <w:pPr>
        <w:pStyle w:val="Caption"/>
      </w:pPr>
      <w:r>
        <w:t xml:space="preserve">Figure </w:t>
      </w:r>
      <w:r>
        <w:fldChar w:fldCharType="begin"/>
      </w:r>
      <w:r>
        <w:instrText xml:space="preserve"> SEQ Figure \* ARABIC </w:instrText>
      </w:r>
      <w:r>
        <w:fldChar w:fldCharType="separate"/>
      </w:r>
      <w:r w:rsidR="00C83D20">
        <w:rPr>
          <w:noProof/>
        </w:rPr>
        <w:t>1</w:t>
      </w:r>
      <w:r>
        <w:fldChar w:fldCharType="end"/>
      </w:r>
      <w:r>
        <w:t>: Bearer type changes in NR and LTE NR DC.</w:t>
      </w:r>
    </w:p>
    <w:p w14:paraId="506211DD" w14:textId="25CD8B6F" w:rsidR="00D95827" w:rsidRDefault="005B3625" w:rsidP="00A570CD">
      <w:r>
        <w:t xml:space="preserve">The bearer type switches can </w:t>
      </w:r>
      <w:r w:rsidR="00271563">
        <w:t>alternatively</w:t>
      </w:r>
      <w:r>
        <w:t xml:space="preserve"> be harmonized by using only one common PDCP specification, and allowing the same security key for all bearer types, independent of the PDCP termination point. This way, also in case of MCG-SCG (and split version) switches, PDCP reestablishment procedure (synchronized with handover or SCG change) can be avoided. This approach is further discussed in [1].</w:t>
      </w:r>
      <w:r w:rsidR="00B040A3" w:rsidRPr="00B040A3">
        <w:t xml:space="preserve"> </w:t>
      </w:r>
      <w:r w:rsidR="005749CE">
        <w:t xml:space="preserve">Such harmonization would then also address the </w:t>
      </w:r>
      <w:r w:rsidR="00B040A3">
        <w:t xml:space="preserve">FFS from last meeting whether LTE-NR DC shall support the direct type change between MCG split bearer to/from SCG split bearer. </w:t>
      </w:r>
      <w:r w:rsidR="005749CE">
        <w:t>With only a sing</w:t>
      </w:r>
      <w:r w:rsidR="006956EF">
        <w:t>l</w:t>
      </w:r>
      <w:r w:rsidR="005749CE">
        <w:t>e h</w:t>
      </w:r>
      <w:r w:rsidR="00B040A3">
        <w:t xml:space="preserve">armonized split bearer, </w:t>
      </w:r>
      <w:r w:rsidR="005749CE">
        <w:t>the direct type change from MCG split bearer to/from SCG split bearer is not needed, but instead a procedure for changing the network termination point of PDCP is needed, including the change of ciphering keys.</w:t>
      </w:r>
    </w:p>
    <w:p w14:paraId="0C373AC9" w14:textId="3A2E3F9D" w:rsidR="00B040A3" w:rsidRDefault="00D66DB7" w:rsidP="00B040A3">
      <w:pPr>
        <w:pStyle w:val="Proposal"/>
      </w:pPr>
      <w:bookmarkStart w:id="25" w:name="_Toc481584810"/>
      <w:bookmarkStart w:id="26" w:name="_Toc481790494"/>
      <w:bookmarkStart w:id="27" w:name="_Toc481796946"/>
      <w:r>
        <w:t>The need for direct bearer type change between MCG split bearer to/from SCG split bearer should be revisited after the bearer harmonization discussion is completed.</w:t>
      </w:r>
      <w:bookmarkEnd w:id="25"/>
      <w:bookmarkEnd w:id="26"/>
      <w:bookmarkEnd w:id="27"/>
    </w:p>
    <w:p w14:paraId="2EEC3270" w14:textId="115FD80C" w:rsidR="00861FC6" w:rsidRDefault="00814DBA" w:rsidP="00FA62C3">
      <w:r>
        <w:lastRenderedPageBreak/>
        <w:t xml:space="preserve">Furthermore, </w:t>
      </w:r>
      <w:r w:rsidR="00D95827">
        <w:t xml:space="preserve">in order to utilize NR as fast as possible in deployments where NR is used in the SCG together with LTE in DC (e.g. early NR deployments), </w:t>
      </w:r>
      <w:r>
        <w:t xml:space="preserve">we should also consider </w:t>
      </w:r>
      <w:r w:rsidR="00D95827">
        <w:t xml:space="preserve">a fast establishment of the split bearers, i.e. MCG split bearer </w:t>
      </w:r>
      <w:r w:rsidR="004D16D8">
        <w:t>or</w:t>
      </w:r>
      <w:r w:rsidR="00D95827">
        <w:t xml:space="preserve"> SCG split bearer. </w:t>
      </w:r>
      <w:r w:rsidR="00FA62C3">
        <w:t>E.g</w:t>
      </w:r>
      <w:r w:rsidR="006C5953">
        <w:t>. a</w:t>
      </w:r>
      <w:r w:rsidR="00FA62C3">
        <w:t xml:space="preserve"> procedure where one would first setup</w:t>
      </w:r>
      <w:r w:rsidR="00D95827">
        <w:t xml:space="preserve"> MCG bearer, switch to the SCG bearer with PDCP reestablishment, and eventually switch to the SCG split bearer</w:t>
      </w:r>
      <w:r w:rsidR="00FA62C3">
        <w:t>, would result</w:t>
      </w:r>
      <w:r w:rsidR="006C5953">
        <w:t xml:space="preserve"> in a</w:t>
      </w:r>
      <w:r w:rsidR="00FA62C3">
        <w:t xml:space="preserve"> </w:t>
      </w:r>
      <w:r w:rsidR="00861FC6">
        <w:t xml:space="preserve">considerable </w:t>
      </w:r>
      <w:r w:rsidR="007D12E3">
        <w:t>delay</w:t>
      </w:r>
      <w:r w:rsidR="00FA62C3">
        <w:t xml:space="preserve"> and signalling overhead</w:t>
      </w:r>
      <w:r w:rsidR="006C5953">
        <w:t>, which should be avoided</w:t>
      </w:r>
      <w:r w:rsidR="00861FC6">
        <w:t>.</w:t>
      </w:r>
    </w:p>
    <w:p w14:paraId="3CE4E9A5" w14:textId="4F273A16" w:rsidR="00D95827" w:rsidRDefault="00D95827" w:rsidP="00A570CD">
      <w:r>
        <w:t>We should study how this switch can be optimized.</w:t>
      </w:r>
    </w:p>
    <w:p w14:paraId="6963AEC7" w14:textId="37421208" w:rsidR="00D95827" w:rsidRDefault="007C02E2" w:rsidP="00D95827">
      <w:pPr>
        <w:pStyle w:val="Proposal"/>
      </w:pPr>
      <w:bookmarkStart w:id="28" w:name="_Toc473902446"/>
      <w:bookmarkStart w:id="29" w:name="_Toc473928842"/>
      <w:bookmarkStart w:id="30" w:name="_Toc478159538"/>
      <w:bookmarkStart w:id="31" w:name="_Toc478159822"/>
      <w:bookmarkStart w:id="32" w:name="_Toc481581155"/>
      <w:bookmarkStart w:id="33" w:name="_Toc481584811"/>
      <w:bookmarkStart w:id="34" w:name="_Toc481790495"/>
      <w:bookmarkStart w:id="35" w:name="_Toc481796947"/>
      <w:r>
        <w:t>Support</w:t>
      </w:r>
      <w:r w:rsidR="004D16D8">
        <w:t xml:space="preserve"> fast establishment </w:t>
      </w:r>
      <w:r w:rsidR="00D7703E">
        <w:t xml:space="preserve">and switch </w:t>
      </w:r>
      <w:r w:rsidR="004D16D8">
        <w:t>of split bearer in LTE NR DC</w:t>
      </w:r>
      <w:r w:rsidR="00D95827">
        <w:t>.</w:t>
      </w:r>
      <w:bookmarkEnd w:id="28"/>
      <w:bookmarkEnd w:id="29"/>
      <w:bookmarkEnd w:id="30"/>
      <w:bookmarkEnd w:id="31"/>
      <w:bookmarkEnd w:id="32"/>
      <w:bookmarkEnd w:id="33"/>
      <w:bookmarkEnd w:id="34"/>
      <w:bookmarkEnd w:id="35"/>
    </w:p>
    <w:p w14:paraId="590435EB" w14:textId="66F7B186" w:rsidR="00584152" w:rsidRDefault="006C5953" w:rsidP="00B95D37">
      <w:r>
        <w:t>Also for this case, it should be noted that the approach from [1] supports this fast establishment of the split bearer for LTE NR DC.</w:t>
      </w:r>
    </w:p>
    <w:p w14:paraId="47625585" w14:textId="5EB11997" w:rsidR="001F5C96" w:rsidRDefault="001F5C96" w:rsidP="00B95D37">
      <w:r>
        <w:t>Moreover, with agreement in RAN2#97 to apply PDCP duplication and transmission via multiple logical channels in the case of carrier aggregation as well (beside DC), yet another (slightly) different bearer type needs to be considered in NR as well: this bearer type’s protocol architecture resembles the MCG split bearer, however, both RLC entities of the split bearer are associated with the same cell group. RAN2 should discuss how this bearer type should be considered in RRC bearer type establishment and reconfiguration procedures.</w:t>
      </w:r>
    </w:p>
    <w:p w14:paraId="557FD716" w14:textId="434B2000" w:rsidR="001F5C96" w:rsidRDefault="001F5C96" w:rsidP="001F5C96">
      <w:pPr>
        <w:pStyle w:val="Proposal"/>
      </w:pPr>
      <w:bookmarkStart w:id="36" w:name="_Toc478159539"/>
      <w:bookmarkStart w:id="37" w:name="_Toc478159823"/>
      <w:bookmarkStart w:id="38" w:name="_Toc481581156"/>
      <w:bookmarkStart w:id="39" w:name="_Toc481584812"/>
      <w:bookmarkStart w:id="40" w:name="_Toc481790496"/>
      <w:bookmarkStart w:id="41" w:name="_Toc481796948"/>
      <w:r>
        <w:t>RAN2 to discuss how bearer type for duplication via multiple logical channels in CA scenario should be considered in RRC procedures.</w:t>
      </w:r>
      <w:bookmarkEnd w:id="36"/>
      <w:bookmarkEnd w:id="37"/>
      <w:bookmarkEnd w:id="38"/>
      <w:bookmarkEnd w:id="39"/>
      <w:bookmarkEnd w:id="40"/>
      <w:bookmarkEnd w:id="41"/>
    </w:p>
    <w:p w14:paraId="4B2F98FC" w14:textId="77777777" w:rsidR="001F5C96" w:rsidRDefault="001F5C96" w:rsidP="00B95D37"/>
    <w:p w14:paraId="37073D30" w14:textId="77777777" w:rsidR="00C01F33" w:rsidRPr="00CE0424" w:rsidRDefault="00C01F33" w:rsidP="00CE0424">
      <w:pPr>
        <w:pStyle w:val="Heading1"/>
      </w:pPr>
      <w:r w:rsidRPr="00CE0424">
        <w:t>Conclusion</w:t>
      </w:r>
    </w:p>
    <w:p w14:paraId="19D6CA61" w14:textId="04104B2C" w:rsidR="004A483C" w:rsidRDefault="008E065E" w:rsidP="004A483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83D20">
        <w:t>2</w:t>
      </w:r>
      <w:r w:rsidRPr="00CE0424">
        <w:rPr>
          <w:highlight w:val="cyan"/>
        </w:rPr>
        <w:fldChar w:fldCharType="end"/>
      </w:r>
      <w:r w:rsidRPr="00CE0424">
        <w:t xml:space="preserve"> we propose the following:</w:t>
      </w:r>
    </w:p>
    <w:p w14:paraId="23B873ED" w14:textId="77777777" w:rsidR="00BD7372" w:rsidRPr="00BD7372" w:rsidRDefault="00FA62C3">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BD7372">
        <w:t>Proposal 1</w:t>
      </w:r>
      <w:r w:rsidR="00BD7372" w:rsidRPr="00BD7372">
        <w:rPr>
          <w:rFonts w:asciiTheme="minorHAnsi" w:eastAsiaTheme="minorEastAsia" w:hAnsiTheme="minorHAnsi" w:cstheme="minorBidi"/>
          <w:b w:val="0"/>
          <w:sz w:val="22"/>
          <w:lang w:val="en-GB" w:eastAsia="fi-FI"/>
        </w:rPr>
        <w:tab/>
      </w:r>
      <w:r w:rsidR="00BD7372">
        <w:t>Switches between non-split bearer and split bearer within the same cell group with potential data loss on MAC and RLC can be handled by PDCP retransmissions, e.g. with the PDCP data recovery procedure.</w:t>
      </w:r>
    </w:p>
    <w:p w14:paraId="764422FC" w14:textId="77777777" w:rsidR="00BD7372" w:rsidRPr="00BD7372" w:rsidRDefault="00BD7372">
      <w:pPr>
        <w:pStyle w:val="TOC1"/>
        <w:rPr>
          <w:rFonts w:asciiTheme="minorHAnsi" w:eastAsiaTheme="minorEastAsia" w:hAnsiTheme="minorHAnsi" w:cstheme="minorBidi"/>
          <w:b w:val="0"/>
          <w:sz w:val="22"/>
          <w:lang w:val="en-GB" w:eastAsia="fi-FI"/>
        </w:rPr>
      </w:pPr>
      <w:r>
        <w:t>Proposal 2</w:t>
      </w:r>
      <w:r w:rsidRPr="00BD7372">
        <w:rPr>
          <w:rFonts w:asciiTheme="minorHAnsi" w:eastAsiaTheme="minorEastAsia" w:hAnsiTheme="minorHAnsi" w:cstheme="minorBidi"/>
          <w:b w:val="0"/>
          <w:sz w:val="22"/>
          <w:lang w:val="en-GB" w:eastAsia="fi-FI"/>
        </w:rPr>
        <w:tab/>
      </w:r>
      <w:r>
        <w:t>Bearer type switches with change of PDCP termination point, include PDCP reestablishment procedure.</w:t>
      </w:r>
    </w:p>
    <w:p w14:paraId="2EFF2039" w14:textId="77777777" w:rsidR="00BD7372" w:rsidRPr="00BD7372" w:rsidRDefault="00BD7372">
      <w:pPr>
        <w:pStyle w:val="TOC1"/>
        <w:rPr>
          <w:rFonts w:asciiTheme="minorHAnsi" w:eastAsiaTheme="minorEastAsia" w:hAnsiTheme="minorHAnsi" w:cstheme="minorBidi"/>
          <w:b w:val="0"/>
          <w:sz w:val="22"/>
          <w:lang w:val="en-GB" w:eastAsia="fi-FI"/>
        </w:rPr>
      </w:pPr>
      <w:r>
        <w:t>Proposal 3</w:t>
      </w:r>
      <w:r w:rsidRPr="00BD7372">
        <w:rPr>
          <w:rFonts w:asciiTheme="minorHAnsi" w:eastAsiaTheme="minorEastAsia" w:hAnsiTheme="minorHAnsi" w:cstheme="minorBidi"/>
          <w:b w:val="0"/>
          <w:sz w:val="22"/>
          <w:lang w:val="en-GB" w:eastAsia="fi-FI"/>
        </w:rPr>
        <w:tab/>
      </w:r>
      <w:r>
        <w:t>PDCP reestablishment procedure is supported across PDCP versions (i.e. LTE PDCP to NR PDCP and vice versa).</w:t>
      </w:r>
    </w:p>
    <w:p w14:paraId="0C83FC28" w14:textId="77777777" w:rsidR="00BD7372" w:rsidRPr="00BD7372" w:rsidRDefault="00BD7372">
      <w:pPr>
        <w:pStyle w:val="TOC1"/>
        <w:rPr>
          <w:rFonts w:asciiTheme="minorHAnsi" w:eastAsiaTheme="minorEastAsia" w:hAnsiTheme="minorHAnsi" w:cstheme="minorBidi"/>
          <w:b w:val="0"/>
          <w:sz w:val="22"/>
          <w:lang w:val="en-GB" w:eastAsia="fi-FI"/>
        </w:rPr>
      </w:pPr>
      <w:r>
        <w:t>Proposal 4</w:t>
      </w:r>
      <w:r w:rsidRPr="00BD7372">
        <w:rPr>
          <w:rFonts w:asciiTheme="minorHAnsi" w:eastAsiaTheme="minorEastAsia" w:hAnsiTheme="minorHAnsi" w:cstheme="minorBidi"/>
          <w:b w:val="0"/>
          <w:sz w:val="22"/>
          <w:lang w:val="en-GB" w:eastAsia="fi-FI"/>
        </w:rPr>
        <w:tab/>
      </w:r>
      <w:r>
        <w:t>The need for direct bearer type change between MCG split bearer to/from SCG split bearer should be revisited after the bearer harmonization discussion is completed.</w:t>
      </w:r>
    </w:p>
    <w:p w14:paraId="3E6D4F04" w14:textId="77777777" w:rsidR="00BD7372" w:rsidRPr="00BD7372" w:rsidRDefault="00BD7372">
      <w:pPr>
        <w:pStyle w:val="TOC1"/>
        <w:rPr>
          <w:rFonts w:asciiTheme="minorHAnsi" w:eastAsiaTheme="minorEastAsia" w:hAnsiTheme="minorHAnsi" w:cstheme="minorBidi"/>
          <w:b w:val="0"/>
          <w:sz w:val="22"/>
          <w:lang w:val="en-GB" w:eastAsia="fi-FI"/>
        </w:rPr>
      </w:pPr>
      <w:r>
        <w:t>Proposal 5</w:t>
      </w:r>
      <w:r w:rsidRPr="00BD7372">
        <w:rPr>
          <w:rFonts w:asciiTheme="minorHAnsi" w:eastAsiaTheme="minorEastAsia" w:hAnsiTheme="minorHAnsi" w:cstheme="minorBidi"/>
          <w:b w:val="0"/>
          <w:sz w:val="22"/>
          <w:lang w:val="en-GB" w:eastAsia="fi-FI"/>
        </w:rPr>
        <w:tab/>
      </w:r>
      <w:r>
        <w:t>Support fast establishment and switch of split bearer in LTE NR DC.</w:t>
      </w:r>
    </w:p>
    <w:p w14:paraId="027D270C" w14:textId="77777777" w:rsidR="00BD7372" w:rsidRPr="00BD7372" w:rsidRDefault="00BD7372">
      <w:pPr>
        <w:pStyle w:val="TOC1"/>
        <w:rPr>
          <w:rFonts w:asciiTheme="minorHAnsi" w:eastAsiaTheme="minorEastAsia" w:hAnsiTheme="minorHAnsi" w:cstheme="minorBidi"/>
          <w:b w:val="0"/>
          <w:sz w:val="22"/>
          <w:lang w:val="en-GB" w:eastAsia="fi-FI"/>
        </w:rPr>
      </w:pPr>
      <w:r>
        <w:t>Proposal 6</w:t>
      </w:r>
      <w:r w:rsidRPr="00BD7372">
        <w:rPr>
          <w:rFonts w:asciiTheme="minorHAnsi" w:eastAsiaTheme="minorEastAsia" w:hAnsiTheme="minorHAnsi" w:cstheme="minorBidi"/>
          <w:b w:val="0"/>
          <w:sz w:val="22"/>
          <w:lang w:val="en-GB" w:eastAsia="fi-FI"/>
        </w:rPr>
        <w:tab/>
      </w:r>
      <w:r>
        <w:t>RAN2 to discuss how bearer type for duplication via multiple logical channels in CA scenario should be considered in RRC procedures.</w:t>
      </w:r>
    </w:p>
    <w:p w14:paraId="15F22755" w14:textId="662E9289" w:rsidR="00FA62C3" w:rsidRPr="00D04434" w:rsidRDefault="00FA62C3" w:rsidP="00FA62C3">
      <w:pPr>
        <w:rPr>
          <w:b/>
          <w:bCs/>
        </w:rPr>
      </w:pPr>
      <w:r>
        <w:rPr>
          <w:b/>
          <w:bCs/>
        </w:rPr>
        <w:fldChar w:fldCharType="end"/>
      </w:r>
    </w:p>
    <w:p w14:paraId="6519B324" w14:textId="07F998FB" w:rsidR="003A7EF3" w:rsidRDefault="009579D2" w:rsidP="00271563">
      <w:pPr>
        <w:pStyle w:val="Heading1"/>
      </w:pPr>
      <w:r>
        <w:t>References</w:t>
      </w:r>
    </w:p>
    <w:p w14:paraId="67A0D951" w14:textId="022BE563" w:rsidR="00723A79" w:rsidRDefault="00C83D20" w:rsidP="00723A79">
      <w:pPr>
        <w:pStyle w:val="Reference"/>
      </w:pPr>
      <w:bookmarkStart w:id="42" w:name="_Ref481566365"/>
      <w:r w:rsidRPr="00C83D20">
        <w:t xml:space="preserve">R2-1702710, </w:t>
      </w:r>
      <w:r>
        <w:t>On the different bearer options, Ericsson</w:t>
      </w:r>
      <w:bookmarkEnd w:id="42"/>
    </w:p>
    <w:p w14:paraId="0D6E9C5E" w14:textId="7D7780A6" w:rsidR="009579D2" w:rsidRDefault="009579D2" w:rsidP="009579D2"/>
    <w:p w14:paraId="6C8F5D35" w14:textId="662C8335" w:rsidR="00377F41" w:rsidRDefault="00377F41" w:rsidP="00377F41">
      <w:pPr>
        <w:pStyle w:val="Heading1"/>
      </w:pPr>
      <w:r>
        <w:t>Annex: Agreement history</w:t>
      </w:r>
    </w:p>
    <w:p w14:paraId="44439C58" w14:textId="77777777" w:rsidR="00377F41" w:rsidRDefault="00377F41" w:rsidP="00377F41">
      <w:pPr>
        <w:pStyle w:val="BodyText"/>
      </w:pPr>
      <w:r>
        <w:t>At RAN2#96:</w:t>
      </w:r>
    </w:p>
    <w:p w14:paraId="70D1A219"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354499E2"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1</w:t>
      </w:r>
      <w:r>
        <w:tab/>
        <w:t>In Scenario 3A, the PDCP layer for SCG Bearers is NR-PDCP.</w:t>
      </w:r>
    </w:p>
    <w:p w14:paraId="23D0563C"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2</w:t>
      </w:r>
      <w:r>
        <w:tab/>
        <w:t>In scenario 3A, there is a 1:1 mapping between S1 bearer and DRB for SCG bearers.</w:t>
      </w:r>
    </w:p>
    <w:p w14:paraId="0A88FB31"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3</w:t>
      </w:r>
      <w:r>
        <w:tab/>
        <w:t xml:space="preserve">For tight interworking, support is needed for reconfiguration between SCG bearer and MCG bearer, for reconfiguration of SCG bearer between two secondary nodes, </w:t>
      </w:r>
      <w:r w:rsidRPr="00580771">
        <w:t xml:space="preserve">for reconfiguration between </w:t>
      </w:r>
      <w:r>
        <w:t>MCG</w:t>
      </w:r>
      <w:r w:rsidRPr="00580771">
        <w:t xml:space="preserve"> bearer and MCG </w:t>
      </w:r>
      <w:r>
        <w:t xml:space="preserve">split </w:t>
      </w:r>
      <w:r w:rsidRPr="00580771">
        <w:t>bearer</w:t>
      </w:r>
      <w:r>
        <w:t xml:space="preserve"> (this doesn’t exclude other reconfiguration cases being discussed)</w:t>
      </w:r>
    </w:p>
    <w:p w14:paraId="44192D8A" w14:textId="77777777" w:rsidR="00377F41" w:rsidRPr="00CE3B2B" w:rsidRDefault="00377F41" w:rsidP="00377F41">
      <w:pPr>
        <w:pStyle w:val="Doc-text2"/>
        <w:pBdr>
          <w:top w:val="single" w:sz="4" w:space="1" w:color="auto"/>
          <w:left w:val="single" w:sz="4" w:space="4" w:color="auto"/>
          <w:bottom w:val="single" w:sz="4" w:space="1" w:color="auto"/>
          <w:right w:val="single" w:sz="4" w:space="4" w:color="auto"/>
        </w:pBdr>
      </w:pPr>
      <w:r>
        <w:lastRenderedPageBreak/>
        <w:t>4</w:t>
      </w:r>
      <w:r>
        <w:tab/>
        <w:t>RAN2 will study PDCP procedures for changing the PDCP-SN length that are lossless and maintain ordered delivery of higher-layer data.  To be studied for reconfigurations between LTE and NR and reconfigurations within NR</w:t>
      </w:r>
    </w:p>
    <w:p w14:paraId="70BECEEB" w14:textId="77777777" w:rsidR="00377F41" w:rsidRDefault="00377F41" w:rsidP="00377F41">
      <w:pPr>
        <w:pStyle w:val="BodyText"/>
      </w:pPr>
    </w:p>
    <w:p w14:paraId="05F91DC9" w14:textId="7EDC9EA3" w:rsidR="00377F41" w:rsidRDefault="00377F41" w:rsidP="00377F41">
      <w:pPr>
        <w:pStyle w:val="BodyText"/>
      </w:pPr>
      <w:r>
        <w:t>At RAN2 NR Adhoc January, 2017:</w:t>
      </w:r>
    </w:p>
    <w:p w14:paraId="40F8628A"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13E91CA8"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w:t>
      </w:r>
      <w:r>
        <w:tab/>
      </w:r>
      <w:r w:rsidRPr="00EA33AC">
        <w:t xml:space="preserve">Support Split </w:t>
      </w:r>
      <w:r>
        <w:t>bearer via SCG for E-UTRA-NR DC for case where LTE is the master node.</w:t>
      </w:r>
    </w:p>
    <w:p w14:paraId="70FD084F"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FFS whether SCG split bearer is support for cases where NR is the master node</w:t>
      </w:r>
    </w:p>
    <w:p w14:paraId="3634B024" w14:textId="77777777" w:rsidR="00377F41" w:rsidRDefault="00377F41" w:rsidP="00377F41">
      <w:pPr>
        <w:pStyle w:val="Doc-text2"/>
      </w:pPr>
    </w:p>
    <w:p w14:paraId="1E562F38"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6B5E3E86"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w:t>
      </w:r>
      <w:r>
        <w:tab/>
        <w:t>SCG split bearers where master node is LTE and secondary node is NR uses NR-PDCP.</w:t>
      </w:r>
    </w:p>
    <w:p w14:paraId="199189F3"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w:t>
      </w:r>
      <w:r>
        <w:tab/>
        <w:t xml:space="preserve">For SCG split bearer connected to EPC there is a 1:1 mapping between S1 bearer and DRB </w:t>
      </w:r>
    </w:p>
    <w:p w14:paraId="7F65FF13" w14:textId="77777777" w:rsidR="00377F41" w:rsidRPr="00F73692" w:rsidRDefault="00377F41" w:rsidP="00377F41">
      <w:pPr>
        <w:pStyle w:val="Doc-text2"/>
      </w:pPr>
    </w:p>
    <w:p w14:paraId="06F766E7"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Agreements:</w:t>
      </w:r>
    </w:p>
    <w:p w14:paraId="5C336E14"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 at least for the case of mobility where the PDCP anchor point is not changed. (To be confirmed by SA3)</w:t>
      </w:r>
    </w:p>
    <w:p w14:paraId="3C12DE04" w14:textId="77777777" w:rsidR="00377F41" w:rsidRDefault="00377F41" w:rsidP="00377F41">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22B52EB0" w14:textId="50F7BC3F" w:rsidR="00377F41" w:rsidRDefault="00377F41" w:rsidP="00377F41"/>
    <w:p w14:paraId="25AACBC2" w14:textId="188978E2" w:rsidR="00377F41" w:rsidRDefault="00F50128" w:rsidP="00377F41">
      <w:r>
        <w:t>At RAN2#97bis:</w:t>
      </w:r>
    </w:p>
    <w:p w14:paraId="04D51494"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Agreements</w:t>
      </w:r>
    </w:p>
    <w:p w14:paraId="7D832F59"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1: The following combinations of bearer types cannot be configured simultaneously in LTE-NR DC simultaneously for user plane DRBs:</w:t>
      </w:r>
    </w:p>
    <w:p w14:paraId="2CBC6DBF"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split bearer and SCG split bearer</w:t>
      </w:r>
    </w:p>
    <w:p w14:paraId="53CB014B"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split bearer and SCG bearer (same as LTE DC)</w:t>
      </w:r>
    </w:p>
    <w:p w14:paraId="6CEF3244" w14:textId="71F3566E" w:rsidR="00F50128" w:rsidRDefault="00F50128" w:rsidP="00377F41"/>
    <w:p w14:paraId="25B1E925"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Agreements</w:t>
      </w:r>
    </w:p>
    <w:p w14:paraId="354A0230"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 xml:space="preserve">1: LTE-NR DC should support at least following bearer type change options </w:t>
      </w:r>
    </w:p>
    <w:p w14:paraId="7342CBCB"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bearer to/from MCG split bearer,</w:t>
      </w:r>
    </w:p>
    <w:p w14:paraId="64911B36"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bearer to/from SCG bearer,</w:t>
      </w:r>
    </w:p>
    <w:p w14:paraId="2DCDD92F"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bearer to MCG bearer,</w:t>
      </w:r>
    </w:p>
    <w:p w14:paraId="4D11AF7F"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SCG bearer to SCG bearer,</w:t>
      </w:r>
    </w:p>
    <w:p w14:paraId="3A8689A8"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w:t>
      </w:r>
      <w:r>
        <w:tab/>
        <w:t>MCG split bearer to MCG split bearer</w:t>
      </w:r>
    </w:p>
    <w:p w14:paraId="565BC8CC"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2: LTE-NR DC should not support the direct bearer type change between MCG split bearer and SCG bearer.</w:t>
      </w:r>
    </w:p>
    <w:p w14:paraId="1A3320FD"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3: LTE-NR DC should support the one step bearer type change between MCG bearer to/from SCG split bearer.</w:t>
      </w:r>
    </w:p>
    <w:p w14:paraId="36854C73"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4</w:t>
      </w:r>
      <w:r>
        <w:tab/>
        <w:t xml:space="preserve"> LTE-NR DC shall support the bearer type change between SCG bearer and SCG split bearer.</w:t>
      </w:r>
    </w:p>
    <w:p w14:paraId="32D296A5"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6: LTE-NR DC should support the bearer type change between SCG split bearer and SCG split bearer.</w:t>
      </w:r>
    </w:p>
    <w:p w14:paraId="53E9FAA0" w14:textId="77777777" w:rsidR="00F50128" w:rsidRDefault="00F50128" w:rsidP="00F50128">
      <w:pPr>
        <w:pStyle w:val="Doc-text2"/>
        <w:pBdr>
          <w:top w:val="single" w:sz="4" w:space="1" w:color="auto"/>
          <w:left w:val="single" w:sz="4" w:space="4" w:color="auto"/>
          <w:bottom w:val="single" w:sz="4" w:space="1" w:color="auto"/>
          <w:right w:val="single" w:sz="4" w:space="4" w:color="auto"/>
        </w:pBdr>
      </w:pPr>
      <w:r>
        <w:t>FFS: Whether LTE-NR DC shall support the direct type change between MCG split bearer to/from SCG split bearer.</w:t>
      </w:r>
    </w:p>
    <w:p w14:paraId="1F47B05A" w14:textId="77777777" w:rsidR="00F50128" w:rsidRPr="00377F41" w:rsidRDefault="00F50128" w:rsidP="00377F41">
      <w:bookmarkStart w:id="43" w:name="_GoBack"/>
      <w:bookmarkEnd w:id="43"/>
    </w:p>
    <w:sectPr w:rsidR="00F50128" w:rsidRPr="00377F4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BFD50" w14:textId="77777777" w:rsidR="004731F6" w:rsidRDefault="004731F6">
      <w:r>
        <w:separator/>
      </w:r>
    </w:p>
  </w:endnote>
  <w:endnote w:type="continuationSeparator" w:id="0">
    <w:p w14:paraId="1A31DEF4" w14:textId="77777777" w:rsidR="004731F6" w:rsidRDefault="004731F6">
      <w:r>
        <w:continuationSeparator/>
      </w:r>
    </w:p>
  </w:endnote>
  <w:endnote w:type="continuationNotice" w:id="1">
    <w:p w14:paraId="4F280910" w14:textId="77777777" w:rsidR="004731F6" w:rsidRDefault="00473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E87A" w14:textId="62519D00" w:rsidR="008834AA" w:rsidRDefault="008834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56E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56E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EDF7E" w14:textId="77777777" w:rsidR="004731F6" w:rsidRDefault="004731F6">
      <w:r>
        <w:separator/>
      </w:r>
    </w:p>
  </w:footnote>
  <w:footnote w:type="continuationSeparator" w:id="0">
    <w:p w14:paraId="737B3120" w14:textId="77777777" w:rsidR="004731F6" w:rsidRDefault="004731F6">
      <w:r>
        <w:continuationSeparator/>
      </w:r>
    </w:p>
  </w:footnote>
  <w:footnote w:type="continuationNotice" w:id="1">
    <w:p w14:paraId="40FF821B" w14:textId="77777777" w:rsidR="004731F6" w:rsidRDefault="00473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A8212" w14:textId="77777777" w:rsidR="008834AA" w:rsidRDefault="008834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14EBD"/>
    <w:multiLevelType w:val="hybridMultilevel"/>
    <w:tmpl w:val="40D23CBC"/>
    <w:lvl w:ilvl="0" w:tplc="0F8A71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61AB"/>
    <w:multiLevelType w:val="hybridMultilevel"/>
    <w:tmpl w:val="3F343888"/>
    <w:lvl w:ilvl="0" w:tplc="2A263734">
      <w:start w:val="1"/>
      <w:numFmt w:val="bullet"/>
      <w:lvlText w:val="›"/>
      <w:lvlJc w:val="left"/>
      <w:pPr>
        <w:tabs>
          <w:tab w:val="num" w:pos="720"/>
        </w:tabs>
        <w:ind w:left="720" w:hanging="360"/>
      </w:pPr>
      <w:rPr>
        <w:rFonts w:ascii="Arial" w:hAnsi="Arial" w:hint="default"/>
      </w:rPr>
    </w:lvl>
    <w:lvl w:ilvl="1" w:tplc="4828A02C">
      <w:numFmt w:val="bullet"/>
      <w:lvlText w:val="–"/>
      <w:lvlJc w:val="left"/>
      <w:pPr>
        <w:tabs>
          <w:tab w:val="num" w:pos="1440"/>
        </w:tabs>
        <w:ind w:left="1440" w:hanging="360"/>
      </w:pPr>
      <w:rPr>
        <w:rFonts w:ascii="Ericsson Capital TT" w:hAnsi="Ericsson Capital TT" w:hint="default"/>
      </w:rPr>
    </w:lvl>
    <w:lvl w:ilvl="2" w:tplc="43A213EC">
      <w:numFmt w:val="bullet"/>
      <w:lvlText w:val="›"/>
      <w:lvlJc w:val="left"/>
      <w:pPr>
        <w:tabs>
          <w:tab w:val="num" w:pos="2160"/>
        </w:tabs>
        <w:ind w:left="2160" w:hanging="360"/>
      </w:pPr>
      <w:rPr>
        <w:rFonts w:ascii="Ericsson Capital TT" w:hAnsi="Ericsson Capital TT" w:hint="default"/>
      </w:rPr>
    </w:lvl>
    <w:lvl w:ilvl="3" w:tplc="C978AB3E">
      <w:numFmt w:val="bullet"/>
      <w:lvlText w:val="-"/>
      <w:lvlJc w:val="left"/>
      <w:pPr>
        <w:tabs>
          <w:tab w:val="num" w:pos="2880"/>
        </w:tabs>
        <w:ind w:left="2880" w:hanging="360"/>
      </w:pPr>
      <w:rPr>
        <w:rFonts w:ascii="Ericsson Capital TT" w:hAnsi="Ericsson Capital TT" w:hint="default"/>
      </w:rPr>
    </w:lvl>
    <w:lvl w:ilvl="4" w:tplc="F3DE1D66" w:tentative="1">
      <w:start w:val="1"/>
      <w:numFmt w:val="bullet"/>
      <w:lvlText w:val="›"/>
      <w:lvlJc w:val="left"/>
      <w:pPr>
        <w:tabs>
          <w:tab w:val="num" w:pos="3600"/>
        </w:tabs>
        <w:ind w:left="3600" w:hanging="360"/>
      </w:pPr>
      <w:rPr>
        <w:rFonts w:ascii="Arial" w:hAnsi="Arial" w:hint="default"/>
      </w:rPr>
    </w:lvl>
    <w:lvl w:ilvl="5" w:tplc="132E1BDA" w:tentative="1">
      <w:start w:val="1"/>
      <w:numFmt w:val="bullet"/>
      <w:lvlText w:val="›"/>
      <w:lvlJc w:val="left"/>
      <w:pPr>
        <w:tabs>
          <w:tab w:val="num" w:pos="4320"/>
        </w:tabs>
        <w:ind w:left="4320" w:hanging="360"/>
      </w:pPr>
      <w:rPr>
        <w:rFonts w:ascii="Arial" w:hAnsi="Arial" w:hint="default"/>
      </w:rPr>
    </w:lvl>
    <w:lvl w:ilvl="6" w:tplc="BBA0580A" w:tentative="1">
      <w:start w:val="1"/>
      <w:numFmt w:val="bullet"/>
      <w:lvlText w:val="›"/>
      <w:lvlJc w:val="left"/>
      <w:pPr>
        <w:tabs>
          <w:tab w:val="num" w:pos="5040"/>
        </w:tabs>
        <w:ind w:left="5040" w:hanging="360"/>
      </w:pPr>
      <w:rPr>
        <w:rFonts w:ascii="Arial" w:hAnsi="Arial" w:hint="default"/>
      </w:rPr>
    </w:lvl>
    <w:lvl w:ilvl="7" w:tplc="F2205FAC" w:tentative="1">
      <w:start w:val="1"/>
      <w:numFmt w:val="bullet"/>
      <w:lvlText w:val="›"/>
      <w:lvlJc w:val="left"/>
      <w:pPr>
        <w:tabs>
          <w:tab w:val="num" w:pos="5760"/>
        </w:tabs>
        <w:ind w:left="5760" w:hanging="360"/>
      </w:pPr>
      <w:rPr>
        <w:rFonts w:ascii="Arial" w:hAnsi="Arial" w:hint="default"/>
      </w:rPr>
    </w:lvl>
    <w:lvl w:ilvl="8" w:tplc="B0CC35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A36607"/>
    <w:multiLevelType w:val="hybridMultilevel"/>
    <w:tmpl w:val="89B42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D64C13"/>
    <w:multiLevelType w:val="hybridMultilevel"/>
    <w:tmpl w:val="43EE5ED2"/>
    <w:lvl w:ilvl="0" w:tplc="E1A057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C1AC7"/>
    <w:multiLevelType w:val="hybridMultilevel"/>
    <w:tmpl w:val="E76E279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7D04649A"/>
    <w:multiLevelType w:val="hybridMultilevel"/>
    <w:tmpl w:val="9CAC0D38"/>
    <w:lvl w:ilvl="0" w:tplc="1AC66E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1"/>
  </w:num>
  <w:num w:numId="15">
    <w:abstractNumId w:val="8"/>
  </w:num>
  <w:num w:numId="16">
    <w:abstractNumId w:val="16"/>
  </w:num>
  <w:num w:numId="17">
    <w:abstractNumId w:val="4"/>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FE"/>
    <w:rsid w:val="000006E1"/>
    <w:rsid w:val="0000255E"/>
    <w:rsid w:val="00002A37"/>
    <w:rsid w:val="00006446"/>
    <w:rsid w:val="00006896"/>
    <w:rsid w:val="00006B58"/>
    <w:rsid w:val="00007CDC"/>
    <w:rsid w:val="00011B28"/>
    <w:rsid w:val="00015D15"/>
    <w:rsid w:val="000208A4"/>
    <w:rsid w:val="0002564D"/>
    <w:rsid w:val="00025ECA"/>
    <w:rsid w:val="00027939"/>
    <w:rsid w:val="000325B8"/>
    <w:rsid w:val="00032E75"/>
    <w:rsid w:val="00034C15"/>
    <w:rsid w:val="00036BA1"/>
    <w:rsid w:val="000422E2"/>
    <w:rsid w:val="00042F22"/>
    <w:rsid w:val="000444EF"/>
    <w:rsid w:val="00052A07"/>
    <w:rsid w:val="000534E3"/>
    <w:rsid w:val="0005606A"/>
    <w:rsid w:val="00057117"/>
    <w:rsid w:val="000616E7"/>
    <w:rsid w:val="00063CAB"/>
    <w:rsid w:val="0006487E"/>
    <w:rsid w:val="00065E1A"/>
    <w:rsid w:val="00067548"/>
    <w:rsid w:val="0007268F"/>
    <w:rsid w:val="00077E5F"/>
    <w:rsid w:val="0008036A"/>
    <w:rsid w:val="00081AE6"/>
    <w:rsid w:val="000855EB"/>
    <w:rsid w:val="00085B52"/>
    <w:rsid w:val="00086571"/>
    <w:rsid w:val="000866F2"/>
    <w:rsid w:val="0009009F"/>
    <w:rsid w:val="00091557"/>
    <w:rsid w:val="000924C1"/>
    <w:rsid w:val="000924F0"/>
    <w:rsid w:val="00093474"/>
    <w:rsid w:val="0009510F"/>
    <w:rsid w:val="000A1B7B"/>
    <w:rsid w:val="000A21B6"/>
    <w:rsid w:val="000A56F2"/>
    <w:rsid w:val="000A632E"/>
    <w:rsid w:val="000B2719"/>
    <w:rsid w:val="000B3A8F"/>
    <w:rsid w:val="000B4AB9"/>
    <w:rsid w:val="000B58C3"/>
    <w:rsid w:val="000B5EF8"/>
    <w:rsid w:val="000B61E9"/>
    <w:rsid w:val="000C165A"/>
    <w:rsid w:val="000C2E19"/>
    <w:rsid w:val="000C3323"/>
    <w:rsid w:val="000D0D07"/>
    <w:rsid w:val="000D39E5"/>
    <w:rsid w:val="000D3F62"/>
    <w:rsid w:val="000D4797"/>
    <w:rsid w:val="000D78FD"/>
    <w:rsid w:val="000E0527"/>
    <w:rsid w:val="000E1E92"/>
    <w:rsid w:val="000F06D6"/>
    <w:rsid w:val="000F0EB1"/>
    <w:rsid w:val="000F1106"/>
    <w:rsid w:val="000F3BE9"/>
    <w:rsid w:val="000F3F6C"/>
    <w:rsid w:val="000F6DF3"/>
    <w:rsid w:val="001005FF"/>
    <w:rsid w:val="001062FB"/>
    <w:rsid w:val="001063E6"/>
    <w:rsid w:val="00106DB6"/>
    <w:rsid w:val="00113CF4"/>
    <w:rsid w:val="001153EA"/>
    <w:rsid w:val="00115643"/>
    <w:rsid w:val="00116765"/>
    <w:rsid w:val="001219F5"/>
    <w:rsid w:val="00121A20"/>
    <w:rsid w:val="00122F2E"/>
    <w:rsid w:val="0012377F"/>
    <w:rsid w:val="00124314"/>
    <w:rsid w:val="001247EB"/>
    <w:rsid w:val="00126B4A"/>
    <w:rsid w:val="00132FD0"/>
    <w:rsid w:val="001344C0"/>
    <w:rsid w:val="001346FA"/>
    <w:rsid w:val="00135252"/>
    <w:rsid w:val="00137AB5"/>
    <w:rsid w:val="00137F0B"/>
    <w:rsid w:val="00151E23"/>
    <w:rsid w:val="001526E0"/>
    <w:rsid w:val="001551B5"/>
    <w:rsid w:val="001643A8"/>
    <w:rsid w:val="001659C1"/>
    <w:rsid w:val="00166D30"/>
    <w:rsid w:val="001708D0"/>
    <w:rsid w:val="00173A8E"/>
    <w:rsid w:val="00177795"/>
    <w:rsid w:val="0018143F"/>
    <w:rsid w:val="00187DEC"/>
    <w:rsid w:val="00190AC1"/>
    <w:rsid w:val="0019341A"/>
    <w:rsid w:val="00197DF9"/>
    <w:rsid w:val="001A1987"/>
    <w:rsid w:val="001A2564"/>
    <w:rsid w:val="001A6173"/>
    <w:rsid w:val="001A6939"/>
    <w:rsid w:val="001A6CBA"/>
    <w:rsid w:val="001B0D97"/>
    <w:rsid w:val="001B5A5D"/>
    <w:rsid w:val="001C1CE5"/>
    <w:rsid w:val="001C2190"/>
    <w:rsid w:val="001C3D2A"/>
    <w:rsid w:val="001C4E4C"/>
    <w:rsid w:val="001C6495"/>
    <w:rsid w:val="001D31A6"/>
    <w:rsid w:val="001D51BA"/>
    <w:rsid w:val="001D6342"/>
    <w:rsid w:val="001D6D53"/>
    <w:rsid w:val="001E58E2"/>
    <w:rsid w:val="001E7AED"/>
    <w:rsid w:val="001F3916"/>
    <w:rsid w:val="001F54C5"/>
    <w:rsid w:val="001F5C96"/>
    <w:rsid w:val="001F662C"/>
    <w:rsid w:val="001F7074"/>
    <w:rsid w:val="00200490"/>
    <w:rsid w:val="00201F3A"/>
    <w:rsid w:val="00203F96"/>
    <w:rsid w:val="002069B2"/>
    <w:rsid w:val="00207FA3"/>
    <w:rsid w:val="00210B6B"/>
    <w:rsid w:val="00214DA8"/>
    <w:rsid w:val="00215423"/>
    <w:rsid w:val="002158FA"/>
    <w:rsid w:val="00220600"/>
    <w:rsid w:val="002224DB"/>
    <w:rsid w:val="00223577"/>
    <w:rsid w:val="00223FCB"/>
    <w:rsid w:val="002252C3"/>
    <w:rsid w:val="00225C54"/>
    <w:rsid w:val="00230765"/>
    <w:rsid w:val="002319E4"/>
    <w:rsid w:val="00235632"/>
    <w:rsid w:val="00235872"/>
    <w:rsid w:val="00241559"/>
    <w:rsid w:val="002435B3"/>
    <w:rsid w:val="00245522"/>
    <w:rsid w:val="002458EB"/>
    <w:rsid w:val="002500C8"/>
    <w:rsid w:val="00257543"/>
    <w:rsid w:val="002617E7"/>
    <w:rsid w:val="00261FC8"/>
    <w:rsid w:val="00264228"/>
    <w:rsid w:val="00264334"/>
    <w:rsid w:val="0026473E"/>
    <w:rsid w:val="00266214"/>
    <w:rsid w:val="00267C83"/>
    <w:rsid w:val="0027144F"/>
    <w:rsid w:val="002714FE"/>
    <w:rsid w:val="00271563"/>
    <w:rsid w:val="00271F3A"/>
    <w:rsid w:val="00273278"/>
    <w:rsid w:val="002737F4"/>
    <w:rsid w:val="002805F5"/>
    <w:rsid w:val="00280751"/>
    <w:rsid w:val="0028238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476"/>
    <w:rsid w:val="002D34B2"/>
    <w:rsid w:val="002D3F9D"/>
    <w:rsid w:val="002D7637"/>
    <w:rsid w:val="002E17F2"/>
    <w:rsid w:val="002E7CAE"/>
    <w:rsid w:val="002F2771"/>
    <w:rsid w:val="002F37A9"/>
    <w:rsid w:val="00300EB6"/>
    <w:rsid w:val="00301CE6"/>
    <w:rsid w:val="0030256B"/>
    <w:rsid w:val="0030501F"/>
    <w:rsid w:val="00307BA1"/>
    <w:rsid w:val="00307E92"/>
    <w:rsid w:val="00311702"/>
    <w:rsid w:val="00311E82"/>
    <w:rsid w:val="00313FD6"/>
    <w:rsid w:val="003143BD"/>
    <w:rsid w:val="00317B01"/>
    <w:rsid w:val="003203ED"/>
    <w:rsid w:val="00322C9F"/>
    <w:rsid w:val="00324D23"/>
    <w:rsid w:val="00330C7E"/>
    <w:rsid w:val="00331751"/>
    <w:rsid w:val="00334579"/>
    <w:rsid w:val="00335858"/>
    <w:rsid w:val="00336BDA"/>
    <w:rsid w:val="00342BD7"/>
    <w:rsid w:val="00343A07"/>
    <w:rsid w:val="00346DB5"/>
    <w:rsid w:val="003474BC"/>
    <w:rsid w:val="003477B1"/>
    <w:rsid w:val="00350AC2"/>
    <w:rsid w:val="0035482C"/>
    <w:rsid w:val="00357380"/>
    <w:rsid w:val="003602D9"/>
    <w:rsid w:val="003604CE"/>
    <w:rsid w:val="00370E47"/>
    <w:rsid w:val="003742AC"/>
    <w:rsid w:val="00377CE1"/>
    <w:rsid w:val="00377F41"/>
    <w:rsid w:val="00385BF0"/>
    <w:rsid w:val="003939FF"/>
    <w:rsid w:val="0039779E"/>
    <w:rsid w:val="003A127C"/>
    <w:rsid w:val="003A2223"/>
    <w:rsid w:val="003A2A0F"/>
    <w:rsid w:val="003A45A1"/>
    <w:rsid w:val="003A5B0A"/>
    <w:rsid w:val="003A6424"/>
    <w:rsid w:val="003A6BAC"/>
    <w:rsid w:val="003A7EF3"/>
    <w:rsid w:val="003B159C"/>
    <w:rsid w:val="003B369F"/>
    <w:rsid w:val="003B36A3"/>
    <w:rsid w:val="003B4820"/>
    <w:rsid w:val="003B7FE5"/>
    <w:rsid w:val="003C11C8"/>
    <w:rsid w:val="003C2702"/>
    <w:rsid w:val="003C7806"/>
    <w:rsid w:val="003D109F"/>
    <w:rsid w:val="003D2478"/>
    <w:rsid w:val="003D2FC4"/>
    <w:rsid w:val="003D3C45"/>
    <w:rsid w:val="003D5B1F"/>
    <w:rsid w:val="003E15FA"/>
    <w:rsid w:val="003E55E4"/>
    <w:rsid w:val="003E633D"/>
    <w:rsid w:val="003E74E3"/>
    <w:rsid w:val="003E75BA"/>
    <w:rsid w:val="003F05C7"/>
    <w:rsid w:val="003F2CD4"/>
    <w:rsid w:val="003F6BBE"/>
    <w:rsid w:val="003F7E6D"/>
    <w:rsid w:val="004000E8"/>
    <w:rsid w:val="00402E2B"/>
    <w:rsid w:val="0040512B"/>
    <w:rsid w:val="00405CA5"/>
    <w:rsid w:val="00407CD3"/>
    <w:rsid w:val="00410134"/>
    <w:rsid w:val="00410B72"/>
    <w:rsid w:val="00410F18"/>
    <w:rsid w:val="0041263E"/>
    <w:rsid w:val="00413AAC"/>
    <w:rsid w:val="00421105"/>
    <w:rsid w:val="004242F4"/>
    <w:rsid w:val="00426D93"/>
    <w:rsid w:val="00427248"/>
    <w:rsid w:val="00437447"/>
    <w:rsid w:val="00440B16"/>
    <w:rsid w:val="00441A92"/>
    <w:rsid w:val="00444F56"/>
    <w:rsid w:val="00445A06"/>
    <w:rsid w:val="00446488"/>
    <w:rsid w:val="00447EF3"/>
    <w:rsid w:val="004517AA"/>
    <w:rsid w:val="00451811"/>
    <w:rsid w:val="00452CAC"/>
    <w:rsid w:val="00457565"/>
    <w:rsid w:val="00457B71"/>
    <w:rsid w:val="00461D76"/>
    <w:rsid w:val="00462D9D"/>
    <w:rsid w:val="00465F3A"/>
    <w:rsid w:val="004669E2"/>
    <w:rsid w:val="0046719F"/>
    <w:rsid w:val="00470C31"/>
    <w:rsid w:val="004731F6"/>
    <w:rsid w:val="004734D0"/>
    <w:rsid w:val="0047556B"/>
    <w:rsid w:val="00477768"/>
    <w:rsid w:val="00482FC1"/>
    <w:rsid w:val="00492BC5"/>
    <w:rsid w:val="004964F1"/>
    <w:rsid w:val="004A16BC"/>
    <w:rsid w:val="004A2B94"/>
    <w:rsid w:val="004A483C"/>
    <w:rsid w:val="004B0E03"/>
    <w:rsid w:val="004B6378"/>
    <w:rsid w:val="004B7C0C"/>
    <w:rsid w:val="004C360F"/>
    <w:rsid w:val="004C3898"/>
    <w:rsid w:val="004C6517"/>
    <w:rsid w:val="004D16D8"/>
    <w:rsid w:val="004D36B1"/>
    <w:rsid w:val="004D7EBD"/>
    <w:rsid w:val="004E2680"/>
    <w:rsid w:val="004E28F9"/>
    <w:rsid w:val="004E462E"/>
    <w:rsid w:val="004E56DC"/>
    <w:rsid w:val="004E76F4"/>
    <w:rsid w:val="004F0B4E"/>
    <w:rsid w:val="004F0B6C"/>
    <w:rsid w:val="004F2078"/>
    <w:rsid w:val="004F2D67"/>
    <w:rsid w:val="004F4DA3"/>
    <w:rsid w:val="004F5D5F"/>
    <w:rsid w:val="00502773"/>
    <w:rsid w:val="00506557"/>
    <w:rsid w:val="0050677A"/>
    <w:rsid w:val="005108D8"/>
    <w:rsid w:val="00511282"/>
    <w:rsid w:val="005116F9"/>
    <w:rsid w:val="005153A7"/>
    <w:rsid w:val="00516B28"/>
    <w:rsid w:val="00517F17"/>
    <w:rsid w:val="005219CF"/>
    <w:rsid w:val="00531534"/>
    <w:rsid w:val="00531933"/>
    <w:rsid w:val="00533837"/>
    <w:rsid w:val="005338D0"/>
    <w:rsid w:val="00534B59"/>
    <w:rsid w:val="00536759"/>
    <w:rsid w:val="00537C62"/>
    <w:rsid w:val="00543655"/>
    <w:rsid w:val="00546970"/>
    <w:rsid w:val="00554E19"/>
    <w:rsid w:val="0056121F"/>
    <w:rsid w:val="00572505"/>
    <w:rsid w:val="005749CE"/>
    <w:rsid w:val="00580202"/>
    <w:rsid w:val="00582809"/>
    <w:rsid w:val="00584152"/>
    <w:rsid w:val="0058798C"/>
    <w:rsid w:val="005900FA"/>
    <w:rsid w:val="005935A4"/>
    <w:rsid w:val="005948C2"/>
    <w:rsid w:val="00595DCA"/>
    <w:rsid w:val="0059779B"/>
    <w:rsid w:val="005A209A"/>
    <w:rsid w:val="005A662D"/>
    <w:rsid w:val="005B35D7"/>
    <w:rsid w:val="005B3625"/>
    <w:rsid w:val="005B392A"/>
    <w:rsid w:val="005B3AA3"/>
    <w:rsid w:val="005B6F83"/>
    <w:rsid w:val="005C74FB"/>
    <w:rsid w:val="005D0784"/>
    <w:rsid w:val="005D1602"/>
    <w:rsid w:val="005E385F"/>
    <w:rsid w:val="005E52F5"/>
    <w:rsid w:val="005E5B81"/>
    <w:rsid w:val="005F2CB1"/>
    <w:rsid w:val="005F3025"/>
    <w:rsid w:val="005F4D03"/>
    <w:rsid w:val="005F618C"/>
    <w:rsid w:val="005F70BD"/>
    <w:rsid w:val="0060283C"/>
    <w:rsid w:val="00604F14"/>
    <w:rsid w:val="00605F62"/>
    <w:rsid w:val="00611B83"/>
    <w:rsid w:val="00613257"/>
    <w:rsid w:val="006203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363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6EF"/>
    <w:rsid w:val="006958D3"/>
    <w:rsid w:val="00695FC2"/>
    <w:rsid w:val="00696949"/>
    <w:rsid w:val="00697052"/>
    <w:rsid w:val="006A1F18"/>
    <w:rsid w:val="006A358F"/>
    <w:rsid w:val="006A46FB"/>
    <w:rsid w:val="006A5E28"/>
    <w:rsid w:val="006A697B"/>
    <w:rsid w:val="006A7AFF"/>
    <w:rsid w:val="006B1816"/>
    <w:rsid w:val="006B2099"/>
    <w:rsid w:val="006B50CF"/>
    <w:rsid w:val="006C03B8"/>
    <w:rsid w:val="006C5953"/>
    <w:rsid w:val="006C5EC9"/>
    <w:rsid w:val="006C6059"/>
    <w:rsid w:val="006C7522"/>
    <w:rsid w:val="006D6F08"/>
    <w:rsid w:val="006E062C"/>
    <w:rsid w:val="006E28B7"/>
    <w:rsid w:val="006E3310"/>
    <w:rsid w:val="006E3998"/>
    <w:rsid w:val="006E4E39"/>
    <w:rsid w:val="006E565E"/>
    <w:rsid w:val="006E673D"/>
    <w:rsid w:val="006E7D3B"/>
    <w:rsid w:val="006F1B70"/>
    <w:rsid w:val="006F341D"/>
    <w:rsid w:val="006F3CDE"/>
    <w:rsid w:val="006F58D4"/>
    <w:rsid w:val="0070346E"/>
    <w:rsid w:val="00704EDB"/>
    <w:rsid w:val="0070537F"/>
    <w:rsid w:val="00706101"/>
    <w:rsid w:val="0070702B"/>
    <w:rsid w:val="00707072"/>
    <w:rsid w:val="00707D61"/>
    <w:rsid w:val="0071166B"/>
    <w:rsid w:val="00712287"/>
    <w:rsid w:val="00712772"/>
    <w:rsid w:val="00714604"/>
    <w:rsid w:val="007146AF"/>
    <w:rsid w:val="007148D3"/>
    <w:rsid w:val="0071506D"/>
    <w:rsid w:val="00715B9A"/>
    <w:rsid w:val="00716538"/>
    <w:rsid w:val="00721593"/>
    <w:rsid w:val="00723A79"/>
    <w:rsid w:val="00726EA6"/>
    <w:rsid w:val="00727208"/>
    <w:rsid w:val="00727680"/>
    <w:rsid w:val="007336CA"/>
    <w:rsid w:val="007348B1"/>
    <w:rsid w:val="00734B23"/>
    <w:rsid w:val="007362A6"/>
    <w:rsid w:val="00736D7D"/>
    <w:rsid w:val="00740E58"/>
    <w:rsid w:val="0074405B"/>
    <w:rsid w:val="007445A0"/>
    <w:rsid w:val="0074524B"/>
    <w:rsid w:val="00747D8B"/>
    <w:rsid w:val="00751228"/>
    <w:rsid w:val="0075477B"/>
    <w:rsid w:val="007571E1"/>
    <w:rsid w:val="007604B2"/>
    <w:rsid w:val="00765281"/>
    <w:rsid w:val="00766BAD"/>
    <w:rsid w:val="007730BD"/>
    <w:rsid w:val="007740A4"/>
    <w:rsid w:val="007755F2"/>
    <w:rsid w:val="00776971"/>
    <w:rsid w:val="00780C6D"/>
    <w:rsid w:val="0078177E"/>
    <w:rsid w:val="0078304C"/>
    <w:rsid w:val="00783673"/>
    <w:rsid w:val="00785490"/>
    <w:rsid w:val="007925EA"/>
    <w:rsid w:val="00793CD8"/>
    <w:rsid w:val="00795C92"/>
    <w:rsid w:val="00796231"/>
    <w:rsid w:val="007A1CB3"/>
    <w:rsid w:val="007A306F"/>
    <w:rsid w:val="007A43A6"/>
    <w:rsid w:val="007A4975"/>
    <w:rsid w:val="007A58A6"/>
    <w:rsid w:val="007B3D2D"/>
    <w:rsid w:val="007B50AE"/>
    <w:rsid w:val="007B51DF"/>
    <w:rsid w:val="007C02E2"/>
    <w:rsid w:val="007C0517"/>
    <w:rsid w:val="007C05DD"/>
    <w:rsid w:val="007C3D18"/>
    <w:rsid w:val="007C60BF"/>
    <w:rsid w:val="007C6A07"/>
    <w:rsid w:val="007C75A1"/>
    <w:rsid w:val="007C77A5"/>
    <w:rsid w:val="007C7874"/>
    <w:rsid w:val="007D04E5"/>
    <w:rsid w:val="007D12E3"/>
    <w:rsid w:val="007D1C00"/>
    <w:rsid w:val="007D5901"/>
    <w:rsid w:val="007D7526"/>
    <w:rsid w:val="007D776C"/>
    <w:rsid w:val="007E24AB"/>
    <w:rsid w:val="007E4610"/>
    <w:rsid w:val="007E4715"/>
    <w:rsid w:val="007E505B"/>
    <w:rsid w:val="007E7091"/>
    <w:rsid w:val="00802E21"/>
    <w:rsid w:val="00803FAE"/>
    <w:rsid w:val="0080605F"/>
    <w:rsid w:val="00807786"/>
    <w:rsid w:val="00811FCB"/>
    <w:rsid w:val="00813F7B"/>
    <w:rsid w:val="00814DBA"/>
    <w:rsid w:val="008158D6"/>
    <w:rsid w:val="00815A32"/>
    <w:rsid w:val="00817196"/>
    <w:rsid w:val="00817EDE"/>
    <w:rsid w:val="00822440"/>
    <w:rsid w:val="008235DB"/>
    <w:rsid w:val="00824AB4"/>
    <w:rsid w:val="00825C42"/>
    <w:rsid w:val="00825D25"/>
    <w:rsid w:val="00827D6F"/>
    <w:rsid w:val="0083061C"/>
    <w:rsid w:val="008376AC"/>
    <w:rsid w:val="008444E8"/>
    <w:rsid w:val="00844E80"/>
    <w:rsid w:val="00846868"/>
    <w:rsid w:val="00846FE7"/>
    <w:rsid w:val="00850CEC"/>
    <w:rsid w:val="00856911"/>
    <w:rsid w:val="00861FC6"/>
    <w:rsid w:val="008677FD"/>
    <w:rsid w:val="008706D4"/>
    <w:rsid w:val="00870F8A"/>
    <w:rsid w:val="008719A4"/>
    <w:rsid w:val="00871D23"/>
    <w:rsid w:val="00874312"/>
    <w:rsid w:val="0087437C"/>
    <w:rsid w:val="00875CD7"/>
    <w:rsid w:val="00876B4D"/>
    <w:rsid w:val="00877F18"/>
    <w:rsid w:val="00882661"/>
    <w:rsid w:val="008834AA"/>
    <w:rsid w:val="0089127E"/>
    <w:rsid w:val="0089245B"/>
    <w:rsid w:val="00894A88"/>
    <w:rsid w:val="00894C2A"/>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088"/>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C20"/>
    <w:rsid w:val="00902350"/>
    <w:rsid w:val="00902447"/>
    <w:rsid w:val="0090336B"/>
    <w:rsid w:val="009053AA"/>
    <w:rsid w:val="00906939"/>
    <w:rsid w:val="00910B7D"/>
    <w:rsid w:val="00911DFB"/>
    <w:rsid w:val="009139D9"/>
    <w:rsid w:val="00914AD8"/>
    <w:rsid w:val="00916079"/>
    <w:rsid w:val="00917CE9"/>
    <w:rsid w:val="00920BF2"/>
    <w:rsid w:val="00922010"/>
    <w:rsid w:val="00931BD9"/>
    <w:rsid w:val="00934F45"/>
    <w:rsid w:val="009368F3"/>
    <w:rsid w:val="00941636"/>
    <w:rsid w:val="00943742"/>
    <w:rsid w:val="00945C05"/>
    <w:rsid w:val="00946945"/>
    <w:rsid w:val="00947713"/>
    <w:rsid w:val="00950DE7"/>
    <w:rsid w:val="00953920"/>
    <w:rsid w:val="00953D47"/>
    <w:rsid w:val="0095681E"/>
    <w:rsid w:val="009572D4"/>
    <w:rsid w:val="009579D2"/>
    <w:rsid w:val="00961921"/>
    <w:rsid w:val="0096430A"/>
    <w:rsid w:val="0096554B"/>
    <w:rsid w:val="0096584A"/>
    <w:rsid w:val="00971F08"/>
    <w:rsid w:val="0097288E"/>
    <w:rsid w:val="0097603D"/>
    <w:rsid w:val="00976949"/>
    <w:rsid w:val="00980477"/>
    <w:rsid w:val="009808EE"/>
    <w:rsid w:val="00981789"/>
    <w:rsid w:val="00985253"/>
    <w:rsid w:val="009853B3"/>
    <w:rsid w:val="00990630"/>
    <w:rsid w:val="00991761"/>
    <w:rsid w:val="00994DCA"/>
    <w:rsid w:val="009960EC"/>
    <w:rsid w:val="009970DD"/>
    <w:rsid w:val="0099760E"/>
    <w:rsid w:val="009A0FBA"/>
    <w:rsid w:val="009A1601"/>
    <w:rsid w:val="009A462D"/>
    <w:rsid w:val="009A5CBA"/>
    <w:rsid w:val="009A71C7"/>
    <w:rsid w:val="009B1F30"/>
    <w:rsid w:val="009B3AC2"/>
    <w:rsid w:val="009B4DF4"/>
    <w:rsid w:val="009B564E"/>
    <w:rsid w:val="009B7E87"/>
    <w:rsid w:val="009C403E"/>
    <w:rsid w:val="009D4FF0"/>
    <w:rsid w:val="009D703C"/>
    <w:rsid w:val="009D718F"/>
    <w:rsid w:val="009E068F"/>
    <w:rsid w:val="009E14E0"/>
    <w:rsid w:val="009E2B7A"/>
    <w:rsid w:val="009E35DB"/>
    <w:rsid w:val="009E47A3"/>
    <w:rsid w:val="009F08F3"/>
    <w:rsid w:val="009F1ECE"/>
    <w:rsid w:val="009F344F"/>
    <w:rsid w:val="009F36BB"/>
    <w:rsid w:val="009F4C36"/>
    <w:rsid w:val="00A048A8"/>
    <w:rsid w:val="00A04F49"/>
    <w:rsid w:val="00A07855"/>
    <w:rsid w:val="00A12664"/>
    <w:rsid w:val="00A13E54"/>
    <w:rsid w:val="00A17F63"/>
    <w:rsid w:val="00A2193B"/>
    <w:rsid w:val="00A2351A"/>
    <w:rsid w:val="00A264A9"/>
    <w:rsid w:val="00A27785"/>
    <w:rsid w:val="00A30187"/>
    <w:rsid w:val="00A3448A"/>
    <w:rsid w:val="00A36297"/>
    <w:rsid w:val="00A41E2B"/>
    <w:rsid w:val="00A45B74"/>
    <w:rsid w:val="00A52E1D"/>
    <w:rsid w:val="00A570CD"/>
    <w:rsid w:val="00A61499"/>
    <w:rsid w:val="00A62A77"/>
    <w:rsid w:val="00A63483"/>
    <w:rsid w:val="00A657D7"/>
    <w:rsid w:val="00A660AC"/>
    <w:rsid w:val="00A67E6C"/>
    <w:rsid w:val="00A71B99"/>
    <w:rsid w:val="00A739D0"/>
    <w:rsid w:val="00A761D4"/>
    <w:rsid w:val="00A77EC4"/>
    <w:rsid w:val="00A81434"/>
    <w:rsid w:val="00A81E1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0A3"/>
    <w:rsid w:val="00B05084"/>
    <w:rsid w:val="00B11266"/>
    <w:rsid w:val="00B157F9"/>
    <w:rsid w:val="00B167F1"/>
    <w:rsid w:val="00B16C87"/>
    <w:rsid w:val="00B20256"/>
    <w:rsid w:val="00B20D09"/>
    <w:rsid w:val="00B2763F"/>
    <w:rsid w:val="00B27AAC"/>
    <w:rsid w:val="00B30929"/>
    <w:rsid w:val="00B371BD"/>
    <w:rsid w:val="00B372AA"/>
    <w:rsid w:val="00B40445"/>
    <w:rsid w:val="00B41888"/>
    <w:rsid w:val="00B42BDB"/>
    <w:rsid w:val="00B45A52"/>
    <w:rsid w:val="00B46175"/>
    <w:rsid w:val="00B62AAA"/>
    <w:rsid w:val="00B664C7"/>
    <w:rsid w:val="00B739F6"/>
    <w:rsid w:val="00B81A6C"/>
    <w:rsid w:val="00B85DE5"/>
    <w:rsid w:val="00B900BB"/>
    <w:rsid w:val="00B90F73"/>
    <w:rsid w:val="00B926FC"/>
    <w:rsid w:val="00B93B59"/>
    <w:rsid w:val="00B9406A"/>
    <w:rsid w:val="00B95D37"/>
    <w:rsid w:val="00BA2280"/>
    <w:rsid w:val="00BA2A08"/>
    <w:rsid w:val="00BA3FB3"/>
    <w:rsid w:val="00BA56D2"/>
    <w:rsid w:val="00BA76E0"/>
    <w:rsid w:val="00BB068E"/>
    <w:rsid w:val="00BB2A25"/>
    <w:rsid w:val="00BB51E9"/>
    <w:rsid w:val="00BB529F"/>
    <w:rsid w:val="00BC0FDC"/>
    <w:rsid w:val="00BC3053"/>
    <w:rsid w:val="00BC4D2E"/>
    <w:rsid w:val="00BD0BE7"/>
    <w:rsid w:val="00BD48AC"/>
    <w:rsid w:val="00BD5F1A"/>
    <w:rsid w:val="00BD7372"/>
    <w:rsid w:val="00BE1234"/>
    <w:rsid w:val="00BE2FA6"/>
    <w:rsid w:val="00BE333F"/>
    <w:rsid w:val="00BE4686"/>
    <w:rsid w:val="00BE7406"/>
    <w:rsid w:val="00BE7603"/>
    <w:rsid w:val="00BF3279"/>
    <w:rsid w:val="00BF7369"/>
    <w:rsid w:val="00BF74C7"/>
    <w:rsid w:val="00C015F1"/>
    <w:rsid w:val="00C01F33"/>
    <w:rsid w:val="00C02CC6"/>
    <w:rsid w:val="00C040F7"/>
    <w:rsid w:val="00C041B0"/>
    <w:rsid w:val="00C044AB"/>
    <w:rsid w:val="00C04A53"/>
    <w:rsid w:val="00C05706"/>
    <w:rsid w:val="00C070AD"/>
    <w:rsid w:val="00C07377"/>
    <w:rsid w:val="00C10478"/>
    <w:rsid w:val="00C12107"/>
    <w:rsid w:val="00C14D4B"/>
    <w:rsid w:val="00C154BB"/>
    <w:rsid w:val="00C26FAA"/>
    <w:rsid w:val="00C279B5"/>
    <w:rsid w:val="00C27C45"/>
    <w:rsid w:val="00C3719D"/>
    <w:rsid w:val="00C37FF9"/>
    <w:rsid w:val="00C54995"/>
    <w:rsid w:val="00C54D41"/>
    <w:rsid w:val="00C60783"/>
    <w:rsid w:val="00C64672"/>
    <w:rsid w:val="00C70697"/>
    <w:rsid w:val="00C72EF4"/>
    <w:rsid w:val="00C75D2F"/>
    <w:rsid w:val="00C767BE"/>
    <w:rsid w:val="00C76963"/>
    <w:rsid w:val="00C76E3C"/>
    <w:rsid w:val="00C81568"/>
    <w:rsid w:val="00C83D20"/>
    <w:rsid w:val="00C9027A"/>
    <w:rsid w:val="00C9068E"/>
    <w:rsid w:val="00C93C4B"/>
    <w:rsid w:val="00C93DD5"/>
    <w:rsid w:val="00C944AB"/>
    <w:rsid w:val="00C95B40"/>
    <w:rsid w:val="00CA1ED8"/>
    <w:rsid w:val="00CB1F63"/>
    <w:rsid w:val="00CB5FD6"/>
    <w:rsid w:val="00CB7170"/>
    <w:rsid w:val="00CC040E"/>
    <w:rsid w:val="00CC111F"/>
    <w:rsid w:val="00CC2011"/>
    <w:rsid w:val="00CC3EA0"/>
    <w:rsid w:val="00CC7B45"/>
    <w:rsid w:val="00CD1188"/>
    <w:rsid w:val="00CD2ED1"/>
    <w:rsid w:val="00CD337B"/>
    <w:rsid w:val="00CE0424"/>
    <w:rsid w:val="00CE7561"/>
    <w:rsid w:val="00CF1354"/>
    <w:rsid w:val="00CF2AA1"/>
    <w:rsid w:val="00CF3B1F"/>
    <w:rsid w:val="00CF3BF6"/>
    <w:rsid w:val="00CF625B"/>
    <w:rsid w:val="00CF687E"/>
    <w:rsid w:val="00CF7F1E"/>
    <w:rsid w:val="00D01987"/>
    <w:rsid w:val="00D023B5"/>
    <w:rsid w:val="00D0349B"/>
    <w:rsid w:val="00D04434"/>
    <w:rsid w:val="00D10249"/>
    <w:rsid w:val="00D115C3"/>
    <w:rsid w:val="00D11897"/>
    <w:rsid w:val="00D13135"/>
    <w:rsid w:val="00D13E4E"/>
    <w:rsid w:val="00D239A7"/>
    <w:rsid w:val="00D23F47"/>
    <w:rsid w:val="00D3005B"/>
    <w:rsid w:val="00D35807"/>
    <w:rsid w:val="00D36E71"/>
    <w:rsid w:val="00D37D87"/>
    <w:rsid w:val="00D40B33"/>
    <w:rsid w:val="00D4318F"/>
    <w:rsid w:val="00D438BF"/>
    <w:rsid w:val="00D440F8"/>
    <w:rsid w:val="00D5408A"/>
    <w:rsid w:val="00D546FF"/>
    <w:rsid w:val="00D55AD5"/>
    <w:rsid w:val="00D576CA"/>
    <w:rsid w:val="00D57EEA"/>
    <w:rsid w:val="00D60E13"/>
    <w:rsid w:val="00D61AF5"/>
    <w:rsid w:val="00D62CD5"/>
    <w:rsid w:val="00D6435F"/>
    <w:rsid w:val="00D652B5"/>
    <w:rsid w:val="00D66155"/>
    <w:rsid w:val="00D66DB7"/>
    <w:rsid w:val="00D708B0"/>
    <w:rsid w:val="00D70E73"/>
    <w:rsid w:val="00D7703E"/>
    <w:rsid w:val="00D77B1D"/>
    <w:rsid w:val="00D8021F"/>
    <w:rsid w:val="00D80383"/>
    <w:rsid w:val="00D823C6"/>
    <w:rsid w:val="00D82585"/>
    <w:rsid w:val="00D86CA3"/>
    <w:rsid w:val="00D871CE"/>
    <w:rsid w:val="00D9196D"/>
    <w:rsid w:val="00D92982"/>
    <w:rsid w:val="00D95744"/>
    <w:rsid w:val="00D95827"/>
    <w:rsid w:val="00DA305E"/>
    <w:rsid w:val="00DA44DB"/>
    <w:rsid w:val="00DA5007"/>
    <w:rsid w:val="00DA5417"/>
    <w:rsid w:val="00DA56E8"/>
    <w:rsid w:val="00DA7A24"/>
    <w:rsid w:val="00DB0A9F"/>
    <w:rsid w:val="00DB377D"/>
    <w:rsid w:val="00DC2D36"/>
    <w:rsid w:val="00DC53EF"/>
    <w:rsid w:val="00DC6648"/>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58E8"/>
    <w:rsid w:val="00E46282"/>
    <w:rsid w:val="00E46886"/>
    <w:rsid w:val="00E47AEF"/>
    <w:rsid w:val="00E53B75"/>
    <w:rsid w:val="00E54E3B"/>
    <w:rsid w:val="00E57565"/>
    <w:rsid w:val="00E60DD1"/>
    <w:rsid w:val="00E615F0"/>
    <w:rsid w:val="00E63838"/>
    <w:rsid w:val="00E64434"/>
    <w:rsid w:val="00E67C51"/>
    <w:rsid w:val="00E72EFC"/>
    <w:rsid w:val="00E7302D"/>
    <w:rsid w:val="00E758EC"/>
    <w:rsid w:val="00E77DE7"/>
    <w:rsid w:val="00E8234C"/>
    <w:rsid w:val="00E83AA9"/>
    <w:rsid w:val="00E85928"/>
    <w:rsid w:val="00E87822"/>
    <w:rsid w:val="00E90395"/>
    <w:rsid w:val="00E90E49"/>
    <w:rsid w:val="00E9171D"/>
    <w:rsid w:val="00E917F9"/>
    <w:rsid w:val="00E9291C"/>
    <w:rsid w:val="00E93FFE"/>
    <w:rsid w:val="00E94F8A"/>
    <w:rsid w:val="00EA7A41"/>
    <w:rsid w:val="00EB077B"/>
    <w:rsid w:val="00EB2877"/>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1433"/>
    <w:rsid w:val="00F154A7"/>
    <w:rsid w:val="00F15FA5"/>
    <w:rsid w:val="00F209B7"/>
    <w:rsid w:val="00F2376F"/>
    <w:rsid w:val="00F243D8"/>
    <w:rsid w:val="00F30828"/>
    <w:rsid w:val="00F313D6"/>
    <w:rsid w:val="00F40F0C"/>
    <w:rsid w:val="00F4766C"/>
    <w:rsid w:val="00F50128"/>
    <w:rsid w:val="00F507D1"/>
    <w:rsid w:val="00F519CE"/>
    <w:rsid w:val="00F51ADA"/>
    <w:rsid w:val="00F607C5"/>
    <w:rsid w:val="00F60DEA"/>
    <w:rsid w:val="00F62783"/>
    <w:rsid w:val="00F6302A"/>
    <w:rsid w:val="00F64C2B"/>
    <w:rsid w:val="00F651BE"/>
    <w:rsid w:val="00F67F53"/>
    <w:rsid w:val="00F703BE"/>
    <w:rsid w:val="00F71F69"/>
    <w:rsid w:val="00F72052"/>
    <w:rsid w:val="00F72B72"/>
    <w:rsid w:val="00F74557"/>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62C3"/>
    <w:rsid w:val="00FA7522"/>
    <w:rsid w:val="00FB4C80"/>
    <w:rsid w:val="00FB6A6A"/>
    <w:rsid w:val="00FC4AD0"/>
    <w:rsid w:val="00FC7429"/>
    <w:rsid w:val="00FD07F6"/>
    <w:rsid w:val="00FD1EC8"/>
    <w:rsid w:val="00FD3FB3"/>
    <w:rsid w:val="00FD47ED"/>
    <w:rsid w:val="00FD74DB"/>
    <w:rsid w:val="00FD7660"/>
    <w:rsid w:val="00FE0655"/>
    <w:rsid w:val="00FE189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95673"/>
  <w15:docId w15:val="{09A6F0B2-BE6D-4576-8DD4-A93EDFD2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808E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808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808E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08EE"/>
    <w:pPr>
      <w:numPr>
        <w:ilvl w:val="2"/>
      </w:numPr>
      <w:spacing w:before="120"/>
      <w:outlineLvl w:val="2"/>
    </w:pPr>
    <w:rPr>
      <w:sz w:val="28"/>
      <w:szCs w:val="28"/>
    </w:rPr>
  </w:style>
  <w:style w:type="paragraph" w:styleId="Heading4">
    <w:name w:val="heading 4"/>
    <w:basedOn w:val="Heading3"/>
    <w:next w:val="Normal"/>
    <w:qFormat/>
    <w:rsid w:val="009808EE"/>
    <w:pPr>
      <w:numPr>
        <w:ilvl w:val="3"/>
      </w:numPr>
      <w:outlineLvl w:val="3"/>
    </w:pPr>
    <w:rPr>
      <w:sz w:val="24"/>
      <w:szCs w:val="24"/>
    </w:rPr>
  </w:style>
  <w:style w:type="paragraph" w:styleId="Heading5">
    <w:name w:val="heading 5"/>
    <w:basedOn w:val="Heading4"/>
    <w:next w:val="Normal"/>
    <w:qFormat/>
    <w:rsid w:val="009808EE"/>
    <w:pPr>
      <w:numPr>
        <w:ilvl w:val="4"/>
      </w:numPr>
      <w:outlineLvl w:val="4"/>
    </w:pPr>
    <w:rPr>
      <w:sz w:val="22"/>
      <w:szCs w:val="22"/>
    </w:rPr>
  </w:style>
  <w:style w:type="paragraph" w:styleId="Heading6">
    <w:name w:val="heading 6"/>
    <w:basedOn w:val="Normal"/>
    <w:next w:val="Normal"/>
    <w:qFormat/>
    <w:rsid w:val="009808EE"/>
    <w:pPr>
      <w:keepNext/>
      <w:keepLines/>
      <w:numPr>
        <w:ilvl w:val="5"/>
        <w:numId w:val="1"/>
      </w:numPr>
      <w:spacing w:before="120"/>
      <w:outlineLvl w:val="5"/>
    </w:pPr>
    <w:rPr>
      <w:rFonts w:cs="Arial"/>
    </w:rPr>
  </w:style>
  <w:style w:type="paragraph" w:styleId="Heading7">
    <w:name w:val="heading 7"/>
    <w:basedOn w:val="Normal"/>
    <w:next w:val="Normal"/>
    <w:qFormat/>
    <w:rsid w:val="009808EE"/>
    <w:pPr>
      <w:keepNext/>
      <w:keepLines/>
      <w:numPr>
        <w:ilvl w:val="6"/>
        <w:numId w:val="1"/>
      </w:numPr>
      <w:spacing w:before="120"/>
      <w:outlineLvl w:val="6"/>
    </w:pPr>
    <w:rPr>
      <w:rFonts w:cs="Arial"/>
    </w:rPr>
  </w:style>
  <w:style w:type="paragraph" w:styleId="Heading8">
    <w:name w:val="heading 8"/>
    <w:basedOn w:val="Heading7"/>
    <w:next w:val="Normal"/>
    <w:qFormat/>
    <w:rsid w:val="009808EE"/>
    <w:pPr>
      <w:numPr>
        <w:ilvl w:val="7"/>
      </w:numPr>
      <w:outlineLvl w:val="7"/>
    </w:pPr>
  </w:style>
  <w:style w:type="paragraph" w:styleId="Heading9">
    <w:name w:val="heading 9"/>
    <w:basedOn w:val="Heading8"/>
    <w:next w:val="Normal"/>
    <w:qFormat/>
    <w:rsid w:val="009808EE"/>
    <w:pPr>
      <w:numPr>
        <w:ilvl w:val="8"/>
      </w:numPr>
      <w:outlineLvl w:val="8"/>
    </w:pPr>
  </w:style>
  <w:style w:type="character" w:default="1" w:styleId="DefaultParagraphFont">
    <w:name w:val="Default Paragraph Font"/>
    <w:uiPriority w:val="1"/>
    <w:semiHidden/>
    <w:unhideWhenUsed/>
    <w:rsid w:val="009808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08EE"/>
  </w:style>
  <w:style w:type="paragraph" w:styleId="TOC8">
    <w:name w:val="toc 8"/>
    <w:basedOn w:val="TOC1"/>
    <w:semiHidden/>
    <w:rsid w:val="009808EE"/>
    <w:pPr>
      <w:spacing w:before="180"/>
      <w:ind w:left="2693" w:hanging="2693"/>
    </w:pPr>
    <w:rPr>
      <w:b w:val="0"/>
      <w:bCs/>
    </w:rPr>
  </w:style>
  <w:style w:type="paragraph" w:styleId="TOC1">
    <w:name w:val="toc 1"/>
    <w:aliases w:val="Observation TOC2"/>
    <w:uiPriority w:val="39"/>
    <w:rsid w:val="009808E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808EE"/>
    <w:pPr>
      <w:keepNext/>
      <w:keepLines/>
      <w:spacing w:before="180"/>
      <w:jc w:val="center"/>
    </w:pPr>
  </w:style>
  <w:style w:type="paragraph" w:styleId="Caption">
    <w:name w:val="caption"/>
    <w:basedOn w:val="Normal"/>
    <w:next w:val="Normal"/>
    <w:qFormat/>
    <w:rsid w:val="009808EE"/>
    <w:pPr>
      <w:spacing w:after="240"/>
      <w:jc w:val="center"/>
    </w:pPr>
    <w:rPr>
      <w:b/>
      <w:bCs/>
    </w:rPr>
  </w:style>
  <w:style w:type="paragraph" w:styleId="TOC5">
    <w:name w:val="toc 5"/>
    <w:aliases w:val="Observation TOC"/>
    <w:basedOn w:val="TOC4"/>
    <w:semiHidden/>
    <w:rsid w:val="009808EE"/>
    <w:pPr>
      <w:tabs>
        <w:tab w:val="right" w:pos="1701"/>
      </w:tabs>
      <w:ind w:left="1701" w:hanging="1701"/>
    </w:pPr>
  </w:style>
  <w:style w:type="paragraph" w:styleId="TOC4">
    <w:name w:val="toc 4"/>
    <w:basedOn w:val="TOC3"/>
    <w:semiHidden/>
    <w:rsid w:val="009808EE"/>
    <w:pPr>
      <w:ind w:left="1418" w:hanging="1418"/>
    </w:pPr>
  </w:style>
  <w:style w:type="paragraph" w:styleId="TOC3">
    <w:name w:val="toc 3"/>
    <w:basedOn w:val="TOC2"/>
    <w:semiHidden/>
    <w:rsid w:val="009808EE"/>
    <w:pPr>
      <w:ind w:left="1134" w:hanging="1134"/>
    </w:pPr>
  </w:style>
  <w:style w:type="paragraph" w:styleId="TOC2">
    <w:name w:val="toc 2"/>
    <w:basedOn w:val="TOC1"/>
    <w:semiHidden/>
    <w:rsid w:val="009808EE"/>
    <w:pPr>
      <w:keepNext w:val="0"/>
      <w:spacing w:before="0"/>
      <w:ind w:left="851" w:hanging="851"/>
    </w:pPr>
    <w:rPr>
      <w:szCs w:val="20"/>
    </w:rPr>
  </w:style>
  <w:style w:type="paragraph" w:styleId="Index2">
    <w:name w:val="index 2"/>
    <w:basedOn w:val="Index1"/>
    <w:semiHidden/>
    <w:rsid w:val="009808EE"/>
    <w:pPr>
      <w:ind w:left="284"/>
    </w:pPr>
  </w:style>
  <w:style w:type="paragraph" w:styleId="Index1">
    <w:name w:val="index 1"/>
    <w:basedOn w:val="Normal"/>
    <w:semiHidden/>
    <w:rsid w:val="009808EE"/>
    <w:pPr>
      <w:keepLines/>
      <w:spacing w:after="0"/>
    </w:pPr>
  </w:style>
  <w:style w:type="paragraph" w:styleId="DocumentMap">
    <w:name w:val="Document Map"/>
    <w:basedOn w:val="Normal"/>
    <w:semiHidden/>
    <w:rsid w:val="009808EE"/>
    <w:pPr>
      <w:shd w:val="clear" w:color="auto" w:fill="000080"/>
    </w:pPr>
    <w:rPr>
      <w:rFonts w:ascii="Tahoma" w:hAnsi="Tahoma" w:cs="Tahoma"/>
    </w:rPr>
  </w:style>
  <w:style w:type="paragraph" w:styleId="ListNumber2">
    <w:name w:val="List Number 2"/>
    <w:basedOn w:val="ListNumber"/>
    <w:rsid w:val="009808EE"/>
    <w:pPr>
      <w:ind w:left="851"/>
    </w:pPr>
  </w:style>
  <w:style w:type="paragraph" w:styleId="ListNumber">
    <w:name w:val="List Number"/>
    <w:basedOn w:val="List"/>
    <w:rsid w:val="009808EE"/>
  </w:style>
  <w:style w:type="paragraph" w:styleId="List">
    <w:name w:val="List"/>
    <w:basedOn w:val="Normal"/>
    <w:rsid w:val="009808EE"/>
    <w:pPr>
      <w:ind w:left="568" w:hanging="284"/>
    </w:pPr>
  </w:style>
  <w:style w:type="paragraph" w:styleId="Header">
    <w:name w:val="header"/>
    <w:rsid w:val="009808E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808EE"/>
    <w:rPr>
      <w:b/>
      <w:bCs/>
      <w:position w:val="6"/>
      <w:sz w:val="16"/>
      <w:szCs w:val="16"/>
    </w:rPr>
  </w:style>
  <w:style w:type="paragraph" w:styleId="FootnoteText">
    <w:name w:val="footnote text"/>
    <w:basedOn w:val="Normal"/>
    <w:semiHidden/>
    <w:rsid w:val="009808EE"/>
    <w:pPr>
      <w:keepLines/>
      <w:spacing w:after="0"/>
      <w:ind w:left="454" w:hanging="454"/>
    </w:pPr>
    <w:rPr>
      <w:sz w:val="16"/>
      <w:szCs w:val="16"/>
    </w:rPr>
  </w:style>
  <w:style w:type="paragraph" w:customStyle="1" w:styleId="3GPPHeader">
    <w:name w:val="3GPP_Header"/>
    <w:basedOn w:val="Normal"/>
    <w:rsid w:val="009808EE"/>
    <w:pPr>
      <w:tabs>
        <w:tab w:val="left" w:pos="1701"/>
        <w:tab w:val="right" w:pos="9639"/>
      </w:tabs>
      <w:spacing w:after="240"/>
    </w:pPr>
    <w:rPr>
      <w:b/>
      <w:sz w:val="24"/>
    </w:rPr>
  </w:style>
  <w:style w:type="paragraph" w:styleId="TOC9">
    <w:name w:val="toc 9"/>
    <w:basedOn w:val="TOC8"/>
    <w:semiHidden/>
    <w:rsid w:val="009808EE"/>
    <w:pPr>
      <w:ind w:left="1418" w:hanging="1418"/>
    </w:pPr>
  </w:style>
  <w:style w:type="paragraph" w:styleId="TOC6">
    <w:name w:val="toc 6"/>
    <w:basedOn w:val="TOC5"/>
    <w:next w:val="Normal"/>
    <w:semiHidden/>
    <w:rsid w:val="009808EE"/>
    <w:pPr>
      <w:ind w:left="1985" w:hanging="1985"/>
    </w:pPr>
  </w:style>
  <w:style w:type="paragraph" w:styleId="TOC7">
    <w:name w:val="toc 7"/>
    <w:basedOn w:val="TOC6"/>
    <w:next w:val="Normal"/>
    <w:semiHidden/>
    <w:rsid w:val="009808EE"/>
    <w:pPr>
      <w:ind w:left="2268" w:hanging="2268"/>
    </w:pPr>
  </w:style>
  <w:style w:type="paragraph" w:styleId="ListBullet2">
    <w:name w:val="List Bullet 2"/>
    <w:basedOn w:val="ListBullet"/>
    <w:rsid w:val="009808EE"/>
    <w:pPr>
      <w:numPr>
        <w:numId w:val="6"/>
      </w:numPr>
    </w:pPr>
  </w:style>
  <w:style w:type="paragraph" w:styleId="ListBullet">
    <w:name w:val="List Bullet"/>
    <w:basedOn w:val="BodyText"/>
    <w:rsid w:val="009808EE"/>
    <w:pPr>
      <w:numPr>
        <w:numId w:val="5"/>
      </w:numPr>
    </w:pPr>
  </w:style>
  <w:style w:type="paragraph" w:styleId="ListBullet3">
    <w:name w:val="List Bullet 3"/>
    <w:basedOn w:val="ListBullet2"/>
    <w:rsid w:val="009808EE"/>
    <w:pPr>
      <w:numPr>
        <w:numId w:val="7"/>
      </w:numPr>
    </w:pPr>
  </w:style>
  <w:style w:type="paragraph" w:customStyle="1" w:styleId="EQ">
    <w:name w:val="EQ"/>
    <w:basedOn w:val="Normal"/>
    <w:next w:val="Normal"/>
    <w:rsid w:val="009808EE"/>
    <w:pPr>
      <w:keepLines/>
      <w:tabs>
        <w:tab w:val="center" w:pos="4536"/>
        <w:tab w:val="right" w:pos="9072"/>
      </w:tabs>
      <w:spacing w:after="180"/>
      <w:jc w:val="left"/>
    </w:pPr>
    <w:rPr>
      <w:noProof/>
      <w:lang w:eastAsia="en-US"/>
    </w:rPr>
  </w:style>
  <w:style w:type="paragraph" w:styleId="List2">
    <w:name w:val="List 2"/>
    <w:basedOn w:val="List"/>
    <w:rsid w:val="009808EE"/>
    <w:pPr>
      <w:ind w:left="851"/>
    </w:pPr>
  </w:style>
  <w:style w:type="paragraph" w:styleId="List3">
    <w:name w:val="List 3"/>
    <w:basedOn w:val="List2"/>
    <w:rsid w:val="009808EE"/>
    <w:pPr>
      <w:ind w:left="1135"/>
    </w:pPr>
  </w:style>
  <w:style w:type="paragraph" w:styleId="List4">
    <w:name w:val="List 4"/>
    <w:basedOn w:val="List3"/>
    <w:rsid w:val="009808EE"/>
    <w:pPr>
      <w:ind w:left="1418"/>
    </w:pPr>
  </w:style>
  <w:style w:type="paragraph" w:styleId="List5">
    <w:name w:val="List 5"/>
    <w:basedOn w:val="List4"/>
    <w:rsid w:val="009808EE"/>
    <w:pPr>
      <w:ind w:left="1702"/>
    </w:pPr>
  </w:style>
  <w:style w:type="paragraph" w:customStyle="1" w:styleId="EditorsNote">
    <w:name w:val="Editor's Note"/>
    <w:basedOn w:val="Normal"/>
    <w:rsid w:val="009808EE"/>
    <w:pPr>
      <w:keepLines/>
      <w:spacing w:after="180"/>
      <w:ind w:left="1135" w:hanging="851"/>
      <w:jc w:val="left"/>
    </w:pPr>
    <w:rPr>
      <w:color w:val="FF0000"/>
      <w:lang w:eastAsia="en-US"/>
    </w:rPr>
  </w:style>
  <w:style w:type="paragraph" w:styleId="ListBullet4">
    <w:name w:val="List Bullet 4"/>
    <w:basedOn w:val="ListBullet3"/>
    <w:rsid w:val="009808EE"/>
    <w:pPr>
      <w:numPr>
        <w:numId w:val="8"/>
      </w:numPr>
    </w:pPr>
  </w:style>
  <w:style w:type="paragraph" w:styleId="ListBullet5">
    <w:name w:val="List Bullet 5"/>
    <w:basedOn w:val="ListBullet4"/>
    <w:rsid w:val="009808EE"/>
    <w:pPr>
      <w:numPr>
        <w:numId w:val="4"/>
      </w:numPr>
    </w:pPr>
  </w:style>
  <w:style w:type="paragraph" w:styleId="Footer">
    <w:name w:val="footer"/>
    <w:basedOn w:val="Header"/>
    <w:semiHidden/>
    <w:rsid w:val="009808EE"/>
    <w:pPr>
      <w:jc w:val="center"/>
    </w:pPr>
    <w:rPr>
      <w:i/>
      <w:iCs/>
    </w:rPr>
  </w:style>
  <w:style w:type="paragraph" w:customStyle="1" w:styleId="Reference">
    <w:name w:val="Reference"/>
    <w:basedOn w:val="Normal"/>
    <w:rsid w:val="009808EE"/>
    <w:pPr>
      <w:numPr>
        <w:numId w:val="2"/>
      </w:numPr>
    </w:pPr>
  </w:style>
  <w:style w:type="paragraph" w:styleId="BalloonText">
    <w:name w:val="Balloon Text"/>
    <w:basedOn w:val="Normal"/>
    <w:semiHidden/>
    <w:rsid w:val="009808EE"/>
    <w:rPr>
      <w:rFonts w:ascii="Tahoma" w:hAnsi="Tahoma" w:cs="Tahoma"/>
      <w:sz w:val="16"/>
      <w:szCs w:val="16"/>
    </w:rPr>
  </w:style>
  <w:style w:type="character" w:styleId="PageNumber">
    <w:name w:val="page number"/>
    <w:semiHidden/>
    <w:rsid w:val="009808EE"/>
  </w:style>
  <w:style w:type="paragraph" w:styleId="BodyText">
    <w:name w:val="Body Text"/>
    <w:basedOn w:val="Normal"/>
    <w:link w:val="BodyTextChar"/>
    <w:rsid w:val="009808EE"/>
  </w:style>
  <w:style w:type="character" w:styleId="Hyperlink">
    <w:name w:val="Hyperlink"/>
    <w:uiPriority w:val="99"/>
    <w:rsid w:val="009808EE"/>
    <w:rPr>
      <w:color w:val="0000FF"/>
      <w:u w:val="single"/>
      <w:lang w:val="en-GB"/>
    </w:rPr>
  </w:style>
  <w:style w:type="character" w:styleId="FollowedHyperlink">
    <w:name w:val="FollowedHyperlink"/>
    <w:semiHidden/>
    <w:rsid w:val="009808EE"/>
    <w:rPr>
      <w:color w:val="FF0000"/>
      <w:u w:val="single"/>
    </w:rPr>
  </w:style>
  <w:style w:type="character" w:styleId="CommentReference">
    <w:name w:val="annotation reference"/>
    <w:semiHidden/>
    <w:rsid w:val="009808EE"/>
    <w:rPr>
      <w:sz w:val="16"/>
      <w:szCs w:val="16"/>
    </w:rPr>
  </w:style>
  <w:style w:type="paragraph" w:styleId="CommentText">
    <w:name w:val="annotation text"/>
    <w:basedOn w:val="Normal"/>
    <w:semiHidden/>
    <w:rsid w:val="009808EE"/>
  </w:style>
  <w:style w:type="paragraph" w:styleId="CommentSubject">
    <w:name w:val="annotation subject"/>
    <w:basedOn w:val="CommentText"/>
    <w:next w:val="CommentText"/>
    <w:semiHidden/>
    <w:rsid w:val="009808EE"/>
    <w:rPr>
      <w:b/>
      <w:bCs/>
    </w:rPr>
  </w:style>
  <w:style w:type="character" w:customStyle="1" w:styleId="Heading1Char">
    <w:name w:val="Heading 1 Char"/>
    <w:link w:val="Heading1"/>
    <w:rsid w:val="009808EE"/>
    <w:rPr>
      <w:rFonts w:ascii="Arial" w:hAnsi="Arial" w:cs="Arial"/>
      <w:sz w:val="36"/>
      <w:szCs w:val="36"/>
      <w:lang w:val="en-GB"/>
    </w:rPr>
  </w:style>
  <w:style w:type="paragraph" w:customStyle="1" w:styleId="B1">
    <w:name w:val="B1"/>
    <w:basedOn w:val="List"/>
    <w:rsid w:val="009808EE"/>
    <w:pPr>
      <w:spacing w:after="180"/>
      <w:jc w:val="left"/>
    </w:pPr>
    <w:rPr>
      <w:lang w:eastAsia="en-US"/>
    </w:rPr>
  </w:style>
  <w:style w:type="paragraph" w:customStyle="1" w:styleId="B2">
    <w:name w:val="B2"/>
    <w:basedOn w:val="List2"/>
    <w:rsid w:val="009808EE"/>
    <w:pPr>
      <w:spacing w:after="180"/>
      <w:jc w:val="left"/>
    </w:pPr>
    <w:rPr>
      <w:lang w:eastAsia="en-US"/>
    </w:rPr>
  </w:style>
  <w:style w:type="paragraph" w:customStyle="1" w:styleId="B3">
    <w:name w:val="B3"/>
    <w:basedOn w:val="List3"/>
    <w:rsid w:val="009808EE"/>
    <w:pPr>
      <w:spacing w:after="180"/>
      <w:jc w:val="left"/>
    </w:pPr>
    <w:rPr>
      <w:lang w:eastAsia="en-US"/>
    </w:rPr>
  </w:style>
  <w:style w:type="paragraph" w:customStyle="1" w:styleId="B4">
    <w:name w:val="B4"/>
    <w:basedOn w:val="List4"/>
    <w:rsid w:val="009808EE"/>
    <w:pPr>
      <w:spacing w:after="180"/>
      <w:jc w:val="left"/>
    </w:pPr>
    <w:rPr>
      <w:lang w:eastAsia="en-US"/>
    </w:rPr>
  </w:style>
  <w:style w:type="paragraph" w:customStyle="1" w:styleId="Proposal">
    <w:name w:val="Proposal"/>
    <w:basedOn w:val="Normal"/>
    <w:rsid w:val="009808EE"/>
    <w:pPr>
      <w:numPr>
        <w:numId w:val="3"/>
      </w:numPr>
      <w:tabs>
        <w:tab w:val="clear" w:pos="1304"/>
        <w:tab w:val="left" w:pos="1701"/>
      </w:tabs>
      <w:ind w:left="1701" w:hanging="1701"/>
    </w:pPr>
    <w:rPr>
      <w:b/>
      <w:bCs/>
    </w:rPr>
  </w:style>
  <w:style w:type="character" w:customStyle="1" w:styleId="BodyTextChar">
    <w:name w:val="Body Text Char"/>
    <w:link w:val="BodyText"/>
    <w:rsid w:val="009808EE"/>
    <w:rPr>
      <w:rFonts w:ascii="Arial" w:hAnsi="Arial"/>
      <w:lang w:val="en-GB"/>
    </w:rPr>
  </w:style>
  <w:style w:type="paragraph" w:customStyle="1" w:styleId="B5">
    <w:name w:val="B5"/>
    <w:basedOn w:val="List5"/>
    <w:rsid w:val="009808EE"/>
    <w:pPr>
      <w:spacing w:after="180"/>
      <w:jc w:val="left"/>
    </w:pPr>
    <w:rPr>
      <w:lang w:eastAsia="en-US"/>
    </w:rPr>
  </w:style>
  <w:style w:type="paragraph" w:customStyle="1" w:styleId="EX">
    <w:name w:val="EX"/>
    <w:basedOn w:val="Normal"/>
    <w:rsid w:val="009808EE"/>
    <w:pPr>
      <w:keepLines/>
      <w:spacing w:after="180"/>
      <w:ind w:left="1702" w:hanging="1418"/>
      <w:jc w:val="left"/>
    </w:pPr>
    <w:rPr>
      <w:lang w:eastAsia="en-US"/>
    </w:rPr>
  </w:style>
  <w:style w:type="paragraph" w:customStyle="1" w:styleId="EW">
    <w:name w:val="EW"/>
    <w:basedOn w:val="EX"/>
    <w:rsid w:val="009808EE"/>
    <w:pPr>
      <w:spacing w:after="0"/>
    </w:pPr>
  </w:style>
  <w:style w:type="paragraph" w:customStyle="1" w:styleId="TAL">
    <w:name w:val="TAL"/>
    <w:basedOn w:val="Normal"/>
    <w:rsid w:val="009808EE"/>
    <w:pPr>
      <w:keepNext/>
      <w:keepLines/>
      <w:spacing w:after="0"/>
      <w:jc w:val="left"/>
    </w:pPr>
    <w:rPr>
      <w:sz w:val="18"/>
      <w:lang w:eastAsia="en-US"/>
    </w:rPr>
  </w:style>
  <w:style w:type="paragraph" w:customStyle="1" w:styleId="TAC">
    <w:name w:val="TAC"/>
    <w:basedOn w:val="TAL"/>
    <w:rsid w:val="009808EE"/>
    <w:pPr>
      <w:jc w:val="center"/>
    </w:pPr>
  </w:style>
  <w:style w:type="paragraph" w:customStyle="1" w:styleId="TAH">
    <w:name w:val="TAH"/>
    <w:basedOn w:val="TAC"/>
    <w:rsid w:val="009808EE"/>
    <w:rPr>
      <w:b/>
    </w:rPr>
  </w:style>
  <w:style w:type="paragraph" w:customStyle="1" w:styleId="TAN">
    <w:name w:val="TAN"/>
    <w:basedOn w:val="TAL"/>
    <w:rsid w:val="009808EE"/>
    <w:pPr>
      <w:ind w:left="851" w:hanging="851"/>
    </w:pPr>
  </w:style>
  <w:style w:type="paragraph" w:customStyle="1" w:styleId="TAR">
    <w:name w:val="TAR"/>
    <w:basedOn w:val="TAL"/>
    <w:rsid w:val="009808EE"/>
    <w:pPr>
      <w:jc w:val="right"/>
    </w:pPr>
  </w:style>
  <w:style w:type="paragraph" w:customStyle="1" w:styleId="TH">
    <w:name w:val="TH"/>
    <w:basedOn w:val="Normal"/>
    <w:rsid w:val="009808EE"/>
    <w:pPr>
      <w:keepNext/>
      <w:keepLines/>
      <w:spacing w:before="60" w:after="180"/>
      <w:jc w:val="center"/>
    </w:pPr>
    <w:rPr>
      <w:b/>
      <w:lang w:eastAsia="en-US"/>
    </w:rPr>
  </w:style>
  <w:style w:type="paragraph" w:customStyle="1" w:styleId="TF">
    <w:name w:val="TF"/>
    <w:basedOn w:val="TH"/>
    <w:rsid w:val="009808EE"/>
    <w:pPr>
      <w:keepNext w:val="0"/>
      <w:spacing w:before="0" w:after="240"/>
    </w:pPr>
  </w:style>
  <w:style w:type="paragraph" w:customStyle="1" w:styleId="TT">
    <w:name w:val="TT"/>
    <w:basedOn w:val="Heading1"/>
    <w:next w:val="Normal"/>
    <w:rsid w:val="009808EE"/>
    <w:pPr>
      <w:numPr>
        <w:numId w:val="0"/>
      </w:numPr>
      <w:ind w:left="1134" w:hanging="1134"/>
      <w:outlineLvl w:val="9"/>
    </w:pPr>
    <w:rPr>
      <w:rFonts w:cs="Times New Roman"/>
      <w:szCs w:val="20"/>
      <w:lang w:eastAsia="en-US"/>
    </w:rPr>
  </w:style>
  <w:style w:type="paragraph" w:customStyle="1" w:styleId="ZA">
    <w:name w:val="ZA"/>
    <w:rsid w:val="009808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808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808E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808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808EE"/>
  </w:style>
  <w:style w:type="paragraph" w:customStyle="1" w:styleId="ZH">
    <w:name w:val="ZH"/>
    <w:rsid w:val="009808E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808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808EE"/>
    <w:pPr>
      <w:framePr w:hRule="auto" w:wrap="notBeside" w:y="852"/>
    </w:pPr>
    <w:rPr>
      <w:i w:val="0"/>
      <w:sz w:val="40"/>
    </w:rPr>
  </w:style>
  <w:style w:type="paragraph" w:customStyle="1" w:styleId="ZU">
    <w:name w:val="ZU"/>
    <w:rsid w:val="009808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808EE"/>
    <w:pPr>
      <w:framePr w:wrap="notBeside" w:y="16161"/>
    </w:pPr>
  </w:style>
  <w:style w:type="paragraph" w:customStyle="1" w:styleId="FP">
    <w:name w:val="FP"/>
    <w:basedOn w:val="Normal"/>
    <w:rsid w:val="009808EE"/>
    <w:pPr>
      <w:spacing w:after="0"/>
      <w:jc w:val="left"/>
    </w:pPr>
    <w:rPr>
      <w:lang w:eastAsia="en-US"/>
    </w:rPr>
  </w:style>
  <w:style w:type="paragraph" w:customStyle="1" w:styleId="Observation">
    <w:name w:val="Observation"/>
    <w:basedOn w:val="Proposal"/>
    <w:qFormat/>
    <w:rsid w:val="009808EE"/>
    <w:pPr>
      <w:numPr>
        <w:numId w:val="13"/>
      </w:numPr>
      <w:ind w:left="1701" w:hanging="1701"/>
    </w:pPr>
  </w:style>
  <w:style w:type="paragraph" w:styleId="TableofFigures">
    <w:name w:val="table of figures"/>
    <w:basedOn w:val="Normal"/>
    <w:next w:val="Normal"/>
    <w:uiPriority w:val="99"/>
    <w:rsid w:val="009808EE"/>
    <w:pPr>
      <w:ind w:left="1418" w:hanging="1418"/>
      <w:jc w:val="left"/>
    </w:pPr>
    <w:rPr>
      <w:b/>
    </w:rPr>
  </w:style>
  <w:style w:type="paragraph" w:customStyle="1" w:styleId="CRCoverPage">
    <w:name w:val="CR Cover Page"/>
    <w:rsid w:val="009808EE"/>
    <w:pPr>
      <w:spacing w:after="120"/>
    </w:pPr>
    <w:rPr>
      <w:rFonts w:ascii="Arial" w:hAnsi="Arial"/>
      <w:lang w:val="en-GB" w:eastAsia="en-US"/>
    </w:rPr>
  </w:style>
  <w:style w:type="paragraph" w:customStyle="1" w:styleId="Doc-text2">
    <w:name w:val="Doc-text2"/>
    <w:basedOn w:val="Normal"/>
    <w:link w:val="Doc-text2Char"/>
    <w:qFormat/>
    <w:rsid w:val="002714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14FE"/>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omments">
    <w:name w:val="Comments"/>
    <w:basedOn w:val="Normal"/>
    <w:link w:val="CommentsChar"/>
    <w:qFormat/>
    <w:rsid w:val="00815A3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815A3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71976">
      <w:bodyDiv w:val="1"/>
      <w:marLeft w:val="0"/>
      <w:marRight w:val="0"/>
      <w:marTop w:val="0"/>
      <w:marBottom w:val="0"/>
      <w:divBdr>
        <w:top w:val="none" w:sz="0" w:space="0" w:color="auto"/>
        <w:left w:val="none" w:sz="0" w:space="0" w:color="auto"/>
        <w:bottom w:val="none" w:sz="0" w:space="0" w:color="auto"/>
        <w:right w:val="none" w:sz="0" w:space="0" w:color="auto"/>
      </w:divBdr>
      <w:divsChild>
        <w:div w:id="1700547494">
          <w:marLeft w:val="274"/>
          <w:marRight w:val="0"/>
          <w:marTop w:val="115"/>
          <w:marBottom w:val="0"/>
          <w:divBdr>
            <w:top w:val="none" w:sz="0" w:space="0" w:color="auto"/>
            <w:left w:val="none" w:sz="0" w:space="0" w:color="auto"/>
            <w:bottom w:val="none" w:sz="0" w:space="0" w:color="auto"/>
            <w:right w:val="none" w:sz="0" w:space="0" w:color="auto"/>
          </w:divBdr>
        </w:div>
        <w:div w:id="289475653">
          <w:marLeft w:val="835"/>
          <w:marRight w:val="0"/>
          <w:marTop w:val="96"/>
          <w:marBottom w:val="0"/>
          <w:divBdr>
            <w:top w:val="none" w:sz="0" w:space="0" w:color="auto"/>
            <w:left w:val="none" w:sz="0" w:space="0" w:color="auto"/>
            <w:bottom w:val="none" w:sz="0" w:space="0" w:color="auto"/>
            <w:right w:val="none" w:sz="0" w:space="0" w:color="auto"/>
          </w:divBdr>
        </w:div>
        <w:div w:id="1909917925">
          <w:marLeft w:val="835"/>
          <w:marRight w:val="0"/>
          <w:marTop w:val="96"/>
          <w:marBottom w:val="0"/>
          <w:divBdr>
            <w:top w:val="none" w:sz="0" w:space="0" w:color="auto"/>
            <w:left w:val="none" w:sz="0" w:space="0" w:color="auto"/>
            <w:bottom w:val="none" w:sz="0" w:space="0" w:color="auto"/>
            <w:right w:val="none" w:sz="0" w:space="0" w:color="auto"/>
          </w:divBdr>
        </w:div>
        <w:div w:id="1987010363">
          <w:marLeft w:val="835"/>
          <w:marRight w:val="0"/>
          <w:marTop w:val="96"/>
          <w:marBottom w:val="0"/>
          <w:divBdr>
            <w:top w:val="none" w:sz="0" w:space="0" w:color="auto"/>
            <w:left w:val="none" w:sz="0" w:space="0" w:color="auto"/>
            <w:bottom w:val="none" w:sz="0" w:space="0" w:color="auto"/>
            <w:right w:val="none" w:sz="0" w:space="0" w:color="auto"/>
          </w:divBdr>
        </w:div>
        <w:div w:id="379787620">
          <w:marLeft w:val="274"/>
          <w:marRight w:val="0"/>
          <w:marTop w:val="115"/>
          <w:marBottom w:val="0"/>
          <w:divBdr>
            <w:top w:val="none" w:sz="0" w:space="0" w:color="auto"/>
            <w:left w:val="none" w:sz="0" w:space="0" w:color="auto"/>
            <w:bottom w:val="none" w:sz="0" w:space="0" w:color="auto"/>
            <w:right w:val="none" w:sz="0" w:space="0" w:color="auto"/>
          </w:divBdr>
        </w:div>
        <w:div w:id="282732846">
          <w:marLeft w:val="835"/>
          <w:marRight w:val="0"/>
          <w:marTop w:val="96"/>
          <w:marBottom w:val="0"/>
          <w:divBdr>
            <w:top w:val="none" w:sz="0" w:space="0" w:color="auto"/>
            <w:left w:val="none" w:sz="0" w:space="0" w:color="auto"/>
            <w:bottom w:val="none" w:sz="0" w:space="0" w:color="auto"/>
            <w:right w:val="none" w:sz="0" w:space="0" w:color="auto"/>
          </w:divBdr>
        </w:div>
        <w:div w:id="1961760139">
          <w:marLeft w:val="1411"/>
          <w:marRight w:val="0"/>
          <w:marTop w:val="96"/>
          <w:marBottom w:val="0"/>
          <w:divBdr>
            <w:top w:val="none" w:sz="0" w:space="0" w:color="auto"/>
            <w:left w:val="none" w:sz="0" w:space="0" w:color="auto"/>
            <w:bottom w:val="none" w:sz="0" w:space="0" w:color="auto"/>
            <w:right w:val="none" w:sz="0" w:space="0" w:color="auto"/>
          </w:divBdr>
        </w:div>
        <w:div w:id="1599479408">
          <w:marLeft w:val="1411"/>
          <w:marRight w:val="0"/>
          <w:marTop w:val="96"/>
          <w:marBottom w:val="0"/>
          <w:divBdr>
            <w:top w:val="none" w:sz="0" w:space="0" w:color="auto"/>
            <w:left w:val="none" w:sz="0" w:space="0" w:color="auto"/>
            <w:bottom w:val="none" w:sz="0" w:space="0" w:color="auto"/>
            <w:right w:val="none" w:sz="0" w:space="0" w:color="auto"/>
          </w:divBdr>
        </w:div>
        <w:div w:id="1441949356">
          <w:marLeft w:val="1411"/>
          <w:marRight w:val="0"/>
          <w:marTop w:val="96"/>
          <w:marBottom w:val="0"/>
          <w:divBdr>
            <w:top w:val="none" w:sz="0" w:space="0" w:color="auto"/>
            <w:left w:val="none" w:sz="0" w:space="0" w:color="auto"/>
            <w:bottom w:val="none" w:sz="0" w:space="0" w:color="auto"/>
            <w:right w:val="none" w:sz="0" w:space="0" w:color="auto"/>
          </w:divBdr>
        </w:div>
        <w:div w:id="363405063">
          <w:marLeft w:val="1973"/>
          <w:marRight w:val="0"/>
          <w:marTop w:val="96"/>
          <w:marBottom w:val="0"/>
          <w:divBdr>
            <w:top w:val="none" w:sz="0" w:space="0" w:color="auto"/>
            <w:left w:val="none" w:sz="0" w:space="0" w:color="auto"/>
            <w:bottom w:val="none" w:sz="0" w:space="0" w:color="auto"/>
            <w:right w:val="none" w:sz="0" w:space="0" w:color="auto"/>
          </w:divBdr>
        </w:div>
        <w:div w:id="883904302">
          <w:marLeft w:val="1411"/>
          <w:marRight w:val="0"/>
          <w:marTop w:val="96"/>
          <w:marBottom w:val="0"/>
          <w:divBdr>
            <w:top w:val="none" w:sz="0" w:space="0" w:color="auto"/>
            <w:left w:val="none" w:sz="0" w:space="0" w:color="auto"/>
            <w:bottom w:val="none" w:sz="0" w:space="0" w:color="auto"/>
            <w:right w:val="none" w:sz="0" w:space="0" w:color="auto"/>
          </w:divBdr>
        </w:div>
        <w:div w:id="855341656">
          <w:marLeft w:val="1973"/>
          <w:marRight w:val="0"/>
          <w:marTop w:val="96"/>
          <w:marBottom w:val="0"/>
          <w:divBdr>
            <w:top w:val="none" w:sz="0" w:space="0" w:color="auto"/>
            <w:left w:val="none" w:sz="0" w:space="0" w:color="auto"/>
            <w:bottom w:val="none" w:sz="0" w:space="0" w:color="auto"/>
            <w:right w:val="none" w:sz="0" w:space="0" w:color="auto"/>
          </w:divBdr>
        </w:div>
      </w:divsChild>
    </w:div>
    <w:div w:id="1363944649">
      <w:bodyDiv w:val="1"/>
      <w:marLeft w:val="0"/>
      <w:marRight w:val="0"/>
      <w:marTop w:val="0"/>
      <w:marBottom w:val="0"/>
      <w:divBdr>
        <w:top w:val="none" w:sz="0" w:space="0" w:color="auto"/>
        <w:left w:val="none" w:sz="0" w:space="0" w:color="auto"/>
        <w:bottom w:val="none" w:sz="0" w:space="0" w:color="auto"/>
        <w:right w:val="none" w:sz="0" w:space="0" w:color="auto"/>
      </w:divBdr>
      <w:divsChild>
        <w:div w:id="945230950">
          <w:marLeft w:val="274"/>
          <w:marRight w:val="0"/>
          <w:marTop w:val="115"/>
          <w:marBottom w:val="0"/>
          <w:divBdr>
            <w:top w:val="none" w:sz="0" w:space="0" w:color="auto"/>
            <w:left w:val="none" w:sz="0" w:space="0" w:color="auto"/>
            <w:bottom w:val="none" w:sz="0" w:space="0" w:color="auto"/>
            <w:right w:val="none" w:sz="0" w:space="0" w:color="auto"/>
          </w:divBdr>
        </w:div>
        <w:div w:id="1544904798">
          <w:marLeft w:val="835"/>
          <w:marRight w:val="0"/>
          <w:marTop w:val="96"/>
          <w:marBottom w:val="0"/>
          <w:divBdr>
            <w:top w:val="none" w:sz="0" w:space="0" w:color="auto"/>
            <w:left w:val="none" w:sz="0" w:space="0" w:color="auto"/>
            <w:bottom w:val="none" w:sz="0" w:space="0" w:color="auto"/>
            <w:right w:val="none" w:sz="0" w:space="0" w:color="auto"/>
          </w:divBdr>
        </w:div>
        <w:div w:id="677466147">
          <w:marLeft w:val="835"/>
          <w:marRight w:val="0"/>
          <w:marTop w:val="96"/>
          <w:marBottom w:val="0"/>
          <w:divBdr>
            <w:top w:val="none" w:sz="0" w:space="0" w:color="auto"/>
            <w:left w:val="none" w:sz="0" w:space="0" w:color="auto"/>
            <w:bottom w:val="none" w:sz="0" w:space="0" w:color="auto"/>
            <w:right w:val="none" w:sz="0" w:space="0" w:color="auto"/>
          </w:divBdr>
        </w:div>
        <w:div w:id="641085183">
          <w:marLeft w:val="835"/>
          <w:marRight w:val="0"/>
          <w:marTop w:val="96"/>
          <w:marBottom w:val="0"/>
          <w:divBdr>
            <w:top w:val="none" w:sz="0" w:space="0" w:color="auto"/>
            <w:left w:val="none" w:sz="0" w:space="0" w:color="auto"/>
            <w:bottom w:val="none" w:sz="0" w:space="0" w:color="auto"/>
            <w:right w:val="none" w:sz="0" w:space="0" w:color="auto"/>
          </w:divBdr>
        </w:div>
        <w:div w:id="622347155">
          <w:marLeft w:val="274"/>
          <w:marRight w:val="0"/>
          <w:marTop w:val="115"/>
          <w:marBottom w:val="0"/>
          <w:divBdr>
            <w:top w:val="none" w:sz="0" w:space="0" w:color="auto"/>
            <w:left w:val="none" w:sz="0" w:space="0" w:color="auto"/>
            <w:bottom w:val="none" w:sz="0" w:space="0" w:color="auto"/>
            <w:right w:val="none" w:sz="0" w:space="0" w:color="auto"/>
          </w:divBdr>
        </w:div>
        <w:div w:id="360325614">
          <w:marLeft w:val="835"/>
          <w:marRight w:val="0"/>
          <w:marTop w:val="96"/>
          <w:marBottom w:val="0"/>
          <w:divBdr>
            <w:top w:val="none" w:sz="0" w:space="0" w:color="auto"/>
            <w:left w:val="none" w:sz="0" w:space="0" w:color="auto"/>
            <w:bottom w:val="none" w:sz="0" w:space="0" w:color="auto"/>
            <w:right w:val="none" w:sz="0" w:space="0" w:color="auto"/>
          </w:divBdr>
        </w:div>
        <w:div w:id="440420122">
          <w:marLeft w:val="1411"/>
          <w:marRight w:val="0"/>
          <w:marTop w:val="96"/>
          <w:marBottom w:val="0"/>
          <w:divBdr>
            <w:top w:val="none" w:sz="0" w:space="0" w:color="auto"/>
            <w:left w:val="none" w:sz="0" w:space="0" w:color="auto"/>
            <w:bottom w:val="none" w:sz="0" w:space="0" w:color="auto"/>
            <w:right w:val="none" w:sz="0" w:space="0" w:color="auto"/>
          </w:divBdr>
        </w:div>
        <w:div w:id="1741947213">
          <w:marLeft w:val="1411"/>
          <w:marRight w:val="0"/>
          <w:marTop w:val="96"/>
          <w:marBottom w:val="0"/>
          <w:divBdr>
            <w:top w:val="none" w:sz="0" w:space="0" w:color="auto"/>
            <w:left w:val="none" w:sz="0" w:space="0" w:color="auto"/>
            <w:bottom w:val="none" w:sz="0" w:space="0" w:color="auto"/>
            <w:right w:val="none" w:sz="0" w:space="0" w:color="auto"/>
          </w:divBdr>
        </w:div>
        <w:div w:id="26370397">
          <w:marLeft w:val="1411"/>
          <w:marRight w:val="0"/>
          <w:marTop w:val="96"/>
          <w:marBottom w:val="0"/>
          <w:divBdr>
            <w:top w:val="none" w:sz="0" w:space="0" w:color="auto"/>
            <w:left w:val="none" w:sz="0" w:space="0" w:color="auto"/>
            <w:bottom w:val="none" w:sz="0" w:space="0" w:color="auto"/>
            <w:right w:val="none" w:sz="0" w:space="0" w:color="auto"/>
          </w:divBdr>
        </w:div>
        <w:div w:id="1422529836">
          <w:marLeft w:val="1973"/>
          <w:marRight w:val="0"/>
          <w:marTop w:val="96"/>
          <w:marBottom w:val="0"/>
          <w:divBdr>
            <w:top w:val="none" w:sz="0" w:space="0" w:color="auto"/>
            <w:left w:val="none" w:sz="0" w:space="0" w:color="auto"/>
            <w:bottom w:val="none" w:sz="0" w:space="0" w:color="auto"/>
            <w:right w:val="none" w:sz="0" w:space="0" w:color="auto"/>
          </w:divBdr>
        </w:div>
        <w:div w:id="382481168">
          <w:marLeft w:val="1411"/>
          <w:marRight w:val="0"/>
          <w:marTop w:val="96"/>
          <w:marBottom w:val="0"/>
          <w:divBdr>
            <w:top w:val="none" w:sz="0" w:space="0" w:color="auto"/>
            <w:left w:val="none" w:sz="0" w:space="0" w:color="auto"/>
            <w:bottom w:val="none" w:sz="0" w:space="0" w:color="auto"/>
            <w:right w:val="none" w:sz="0" w:space="0" w:color="auto"/>
          </w:divBdr>
        </w:div>
        <w:div w:id="624117917">
          <w:marLeft w:val="1973"/>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459532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5NUHHDQN7SK2-1-114871</_dlc_DocId>
    <TaxCatchAll xmlns="08b2df90-05d3-4030-90d4-c9feeb4a1cd9">
      <Value>10</Value>
      <Value>9</Value>
      <Value>8</Value>
      <Value>3</Value>
      <Value>1</Value>
    </TaxCatchAll>
    <_dlc_DocIdUrl xmlns="08b2df90-05d3-4030-90d4-c9feeb4a1cd9">
      <Url>https://ericoll.internal.ericsson.com/sites/STAR/_layouts/DocIdRedir.aspx?ID=5NUHHDQN7SK2-1-114871</Url>
      <Description>5NUHHDQN7SK2-1-114871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B78D0A0-20D9-4690-8F7B-2C8DB3AB4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7FA746-1ED6-4759-B11C-7B9282E9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303</TotalTime>
  <Pages>4</Pages>
  <Words>1287</Words>
  <Characters>10428</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120</cp:revision>
  <cp:lastPrinted>2008-01-31T06:09:00Z</cp:lastPrinted>
  <dcterms:created xsi:type="dcterms:W3CDTF">2017-01-25T08:24:00Z</dcterms:created>
  <dcterms:modified xsi:type="dcterms:W3CDTF">2017-05-06T07:43:00Z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e73000cb-4715-4f24-be99-9df5a3035811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